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13.xml" ContentType="application/vnd.openxmlformats-officedocument.wordprocessingml.header+xml"/>
  <Override PartName="/word/footer10.xml" ContentType="application/vnd.openxmlformats-officedocument.wordprocessingml.footer+xml"/>
  <Override PartName="/word/footer2.xml" ContentType="application/vnd.openxmlformats-officedocument.wordprocessingml.footer+xml"/>
  <Override PartName="/word/header12.xml" ContentType="application/vnd.openxmlformats-officedocument.wordprocessingml.header+xml"/>
  <Override PartName="/word/settings.xml" ContentType="application/vnd.openxmlformats-officedocument.wordprocessingml.settings+xml"/>
  <Override PartName="/word/header9.xml" ContentType="application/vnd.openxmlformats-officedocument.wordprocessingml.header+xml"/>
  <Override PartName="/word/header11.xml" ContentType="application/vnd.openxmlformats-officedocument.wordprocessingml.header+xml"/>
  <Override PartName="/word/header8.xml" ContentType="application/vnd.openxmlformats-officedocument.wordprocessingml.header+xml"/>
  <Override PartName="/word/header1.xml" ContentType="application/vnd.openxmlformats-officedocument.wordprocessingml.header+xml"/>
  <Override PartName="/word/_rels/document.xml.rels" ContentType="application/vnd.openxmlformats-package.relationships+xml"/>
  <Override PartName="/word/footer8.xml" ContentType="application/vnd.openxmlformats-officedocument.wordprocessingml.footer+xml"/>
  <Override PartName="/word/footer9.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footer13.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15.xml" ContentType="application/vnd.openxmlformats-officedocument.wordprocessingml.header+xml"/>
  <Override PartName="/word/media/image1.jpeg" ContentType="image/jpeg"/>
  <Override PartName="/word/media/image2.wmf" ContentType="image/x-wmf"/>
  <Override PartName="/word/media/image3.wmf" ContentType="image/x-wmf"/>
  <Override PartName="/word/media/image4.wmf" ContentType="image/x-wmf"/>
  <Override PartName="/word/media/image5.wmf" ContentType="image/x-wmf"/>
  <Override PartName="/word/media/image6.wmf" ContentType="image/x-wmf"/>
  <Override PartName="/word/theme/theme1.xml" ContentType="application/vnd.openxmlformats-officedocument.theme+xml"/>
  <Override PartName="/word/header7.xml" ContentType="application/vnd.openxmlformats-officedocument.wordprocessingml.header+xml"/>
  <Override PartName="/word/header10.xml" ContentType="application/vnd.openxmlformats-officedocument.wordprocessingml.header+xml"/>
  <Override PartName="/word/header5.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3.xml" ContentType="application/vnd.openxmlformats-officedocument.wordprocessingml.footer+xml"/>
  <Override PartName="/word/footer11.xml" ContentType="application/vnd.openxmlformats-officedocument.wordprocessingml.footer+xml"/>
  <Override PartName="/word/document.xml" ContentType="application/vnd.openxmlformats-officedocument.wordprocessingml.document.main+xml"/>
  <Override PartName="/word/header6.xml" ContentType="application/vnd.openxmlformats-officedocument.wordprocessingml.header+xml"/>
  <Override PartName="/word/footer7.xml" ContentType="application/vnd.openxmlformats-officedocument.wordprocessingml.footer+xml"/>
  <Override PartName="/word/footer15.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footer14.xml" ContentType="application/vnd.openxmlformats-officedocument.wordprocessingml.footer+xml"/>
  <Override PartName="/word/footer6.xml" ContentType="application/vnd.openxmlformats-officedocument.wordprocessingml.foot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1"/>
        <w:keepNext w:val="true"/>
        <w:spacing w:before="120" w:after="0"/>
        <w:ind w:left="0" w:right="0" w:hanging="0"/>
        <w:jc w:val="left"/>
        <w:rPr/>
      </w:pPr>
      <w:r>
        <w:rPr/>
        <w:t xml:space="preserve">  </w:t>
      </w:r>
      <w:r>
        <w:rPr/>
        <w:drawing>
          <wp:inline distT="0" distB="0" distL="0" distR="0">
            <wp:extent cx="6480175" cy="1187450"/>
            <wp:effectExtent l="0" t="0" r="0" b="0"/>
            <wp:docPr id="1" name="Изображение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7" descr=""/>
                    <pic:cNvPicPr>
                      <a:picLocks noChangeAspect="1" noChangeArrowheads="1"/>
                    </pic:cNvPicPr>
                  </pic:nvPicPr>
                  <pic:blipFill>
                    <a:blip r:embed="rId2"/>
                    <a:srcRect l="11261" t="29760" r="6241" b="25484"/>
                    <a:stretch>
                      <a:fillRect/>
                    </a:stretch>
                  </pic:blipFill>
                  <pic:spPr bwMode="auto">
                    <a:xfrm>
                      <a:off x="0" y="0"/>
                      <a:ext cx="6480175" cy="1187450"/>
                    </a:xfrm>
                    <a:prstGeom prst="rect">
                      <a:avLst/>
                    </a:prstGeom>
                  </pic:spPr>
                </pic:pic>
              </a:graphicData>
            </a:graphic>
          </wp:inline>
        </w:drawing>
      </w:r>
    </w:p>
    <w:p>
      <w:pPr>
        <w:pStyle w:val="Style21"/>
        <w:keepNext w:val="true"/>
        <w:ind w:left="0" w:right="0" w:hanging="0"/>
        <w:jc w:val="left"/>
        <w:rPr/>
      </w:pPr>
      <w:r>
        <w:rPr/>
      </w:r>
    </w:p>
    <w:p>
      <w:pPr>
        <w:pStyle w:val="Style21"/>
        <w:keepNext w:val="true"/>
        <w:ind w:left="0" w:right="0" w:hanging="0"/>
        <w:jc w:val="left"/>
        <w:rPr>
          <w:highlight w:val="none"/>
        </w:rPr>
      </w:pPr>
      <w:r>
        <w:rPr/>
        <w:t xml:space="preserve">             </w:t>
      </w:r>
    </w:p>
    <w:p>
      <w:pPr>
        <w:pStyle w:val="Style21"/>
        <w:ind w:left="4536" w:hanging="0"/>
        <w:rPr/>
      </w:pPr>
      <w:r>
        <w:rPr/>
        <w:t xml:space="preserve">                  </w:t>
      </w:r>
      <w:r>
        <w:rPr/>
        <w:t>«УТВЕРЖДАЮ»</w:t>
      </w:r>
    </w:p>
    <w:p>
      <w:pPr>
        <w:pStyle w:val="Style21"/>
        <w:keepNext w:val="true"/>
        <w:ind w:left="4536" w:hanging="0"/>
        <w:rPr/>
      </w:pPr>
      <w:r>
        <w:rPr/>
        <w:t xml:space="preserve">                  </w:t>
      </w:r>
      <w:r>
        <w:rPr/>
        <w:t>Председатель закупочной комиссии</w:t>
      </w:r>
    </w:p>
    <w:p>
      <w:pPr>
        <w:pStyle w:val="Tableheader"/>
        <w:widowControl w:val="false"/>
        <w:spacing w:before="0" w:after="0"/>
        <w:jc w:val="center"/>
        <w:rPr>
          <w:rFonts w:ascii="Times New Roman" w:hAnsi="Times New Roman" w:cs="Times New Roman"/>
          <w:b w:val="false"/>
          <w:sz w:val="26"/>
          <w:szCs w:val="26"/>
        </w:rPr>
      </w:pPr>
      <w:r>
        <w:rPr>
          <w:rFonts w:eastAsia="Times New Roman" w:cs="Times New Roman"/>
          <w:b w:val="false"/>
          <w:sz w:val="26"/>
          <w:szCs w:val="26"/>
        </w:rPr>
        <w:t xml:space="preserve">                                                            </w:t>
      </w:r>
      <w:r>
        <w:rPr>
          <w:rFonts w:eastAsia="Times New Roman" w:cs="Times New Roman"/>
          <w:b w:val="false"/>
          <w:sz w:val="26"/>
          <w:szCs w:val="26"/>
        </w:rPr>
        <w:t>АО «ДГК» 1 уровня-</w:t>
      </w:r>
    </w:p>
    <w:p>
      <w:pPr>
        <w:pStyle w:val="Tableheader"/>
        <w:widowControl w:val="false"/>
        <w:spacing w:before="0" w:after="0"/>
        <w:jc w:val="center"/>
        <w:rPr>
          <w:rFonts w:ascii="Times New Roman" w:hAnsi="Times New Roman" w:cs="Times New Roman"/>
          <w:b w:val="false"/>
          <w:sz w:val="26"/>
          <w:szCs w:val="26"/>
        </w:rPr>
      </w:pPr>
      <w:r>
        <w:rPr>
          <w:rFonts w:eastAsia="Times New Roman" w:cs="Times New Roman"/>
          <w:b w:val="false"/>
          <w:sz w:val="26"/>
          <w:szCs w:val="26"/>
        </w:rPr>
        <w:t xml:space="preserve">                                                                                        </w:t>
      </w:r>
      <w:r>
        <w:rPr>
          <w:rFonts w:eastAsia="Times New Roman" w:cs="Times New Roman"/>
          <w:b w:val="false"/>
          <w:sz w:val="26"/>
          <w:szCs w:val="26"/>
        </w:rPr>
        <w:t xml:space="preserve">Заместитель Генерального директора </w:t>
      </w:r>
    </w:p>
    <w:p>
      <w:pPr>
        <w:pStyle w:val="Tableheader"/>
        <w:widowControl w:val="false"/>
        <w:spacing w:before="0" w:after="0"/>
        <w:jc w:val="center"/>
        <w:rPr>
          <w:rFonts w:ascii="Times New Roman" w:hAnsi="Times New Roman" w:cs="Times New Roman"/>
          <w:b w:val="false"/>
          <w:sz w:val="26"/>
          <w:szCs w:val="26"/>
        </w:rPr>
      </w:pPr>
      <w:r>
        <w:rPr>
          <w:rFonts w:eastAsia="Times New Roman" w:cs="Times New Roman"/>
          <w:b w:val="false"/>
          <w:sz w:val="26"/>
          <w:szCs w:val="26"/>
        </w:rPr>
        <w:t xml:space="preserve">                                                                      </w:t>
      </w:r>
      <w:r>
        <w:rPr>
          <w:rFonts w:eastAsia="Times New Roman" w:cs="Times New Roman"/>
          <w:b w:val="false"/>
          <w:sz w:val="26"/>
          <w:szCs w:val="26"/>
        </w:rPr>
        <w:t>по управлению ресурсами</w:t>
      </w:r>
    </w:p>
    <w:p>
      <w:pPr>
        <w:pStyle w:val="Tableheader"/>
        <w:widowControl w:val="false"/>
        <w:spacing w:before="0" w:after="0"/>
        <w:jc w:val="center"/>
        <w:rPr>
          <w:rFonts w:ascii="Times New Roman" w:hAnsi="Times New Roman" w:eastAsia="Times New Roman" w:cs="Times New Roman"/>
          <w:b w:val="false"/>
          <w:bCs w:val="false"/>
          <w:sz w:val="26"/>
          <w:szCs w:val="26"/>
        </w:rPr>
      </w:pPr>
      <w:r>
        <w:rPr>
          <w:rFonts w:eastAsia="Times New Roman" w:cs="Times New Roman"/>
          <w:b w:val="false"/>
          <w:sz w:val="26"/>
          <w:szCs w:val="26"/>
        </w:rPr>
        <w:t xml:space="preserve">                                                                                  </w:t>
      </w:r>
    </w:p>
    <w:p>
      <w:pPr>
        <w:pStyle w:val="Tableheader"/>
        <w:widowControl w:val="false"/>
        <w:spacing w:before="0" w:after="0"/>
        <w:jc w:val="center"/>
        <w:rPr>
          <w:rFonts w:ascii="Times New Roman" w:hAnsi="Times New Roman" w:cs="Times New Roman"/>
          <w:b w:val="false"/>
          <w:bCs w:val="false"/>
          <w:sz w:val="26"/>
          <w:szCs w:val="26"/>
        </w:rPr>
      </w:pPr>
      <w:r>
        <w:rPr>
          <w:rFonts w:eastAsia="Times New Roman" w:cs="Times New Roman"/>
          <w:b w:val="false"/>
          <w:sz w:val="26"/>
          <w:szCs w:val="26"/>
        </w:rPr>
        <w:t xml:space="preserve">                                                                                      </w:t>
      </w:r>
      <w:r>
        <w:rPr>
          <w:rFonts w:eastAsia="Times New Roman" w:cs="Times New Roman"/>
          <w:b w:val="false"/>
          <w:sz w:val="26"/>
          <w:szCs w:val="26"/>
        </w:rPr>
        <w:t>________________ Д. А. Богонатов</w:t>
      </w:r>
    </w:p>
    <w:p>
      <w:pPr>
        <w:pStyle w:val="Style21"/>
        <w:keepNext w:val="true"/>
        <w:ind w:left="4536" w:hanging="0"/>
        <w:rPr/>
      </w:pPr>
      <w:r>
        <w:rPr>
          <w:rFonts w:eastAsia="Times New Roman" w:cs="Times New Roman"/>
          <w:b w:val="false"/>
          <w:bCs w:val="false"/>
          <w:sz w:val="26"/>
          <w:szCs w:val="26"/>
        </w:rPr>
        <w:t xml:space="preserve">                    </w:t>
      </w:r>
      <w:r>
        <w:rPr>
          <w:rFonts w:eastAsia="Times New Roman" w:cs="Times New Roman"/>
          <w:b w:val="false"/>
          <w:bCs w:val="false"/>
          <w:sz w:val="26"/>
          <w:szCs w:val="26"/>
        </w:rPr>
        <w:t>«___» _________________ 202</w:t>
      </w:r>
      <w:r>
        <w:rPr>
          <w:rFonts w:eastAsia="Times New Roman" w:cs="Times New Roman"/>
          <w:b w:val="false"/>
          <w:bCs w:val="false"/>
          <w:sz w:val="26"/>
          <w:szCs w:val="26"/>
        </w:rPr>
        <w:t>6</w:t>
      </w:r>
      <w:r>
        <w:rPr>
          <w:rFonts w:eastAsia="Times New Roman" w:cs="Times New Roman"/>
          <w:b w:val="false"/>
          <w:bCs w:val="false"/>
          <w:sz w:val="26"/>
          <w:szCs w:val="26"/>
        </w:rPr>
        <w:t xml:space="preserve"> год</w:t>
      </w:r>
    </w:p>
    <w:p>
      <w:pPr>
        <w:pStyle w:val="Style21"/>
        <w:rPr/>
      </w:pPr>
      <w:r>
        <w:rPr/>
      </w:r>
    </w:p>
    <w:p>
      <w:pPr>
        <w:pStyle w:val="Style21"/>
        <w:rPr/>
      </w:pPr>
      <w:r>
        <w:rPr/>
      </w:r>
    </w:p>
    <w:p>
      <w:pPr>
        <w:pStyle w:val="Style21"/>
        <w:rPr/>
      </w:pPr>
      <w:r>
        <w:rPr/>
      </w:r>
    </w:p>
    <w:p>
      <w:pPr>
        <w:pStyle w:val="Style21"/>
        <w:rPr/>
      </w:pPr>
      <w:r>
        <w:rPr/>
      </w:r>
    </w:p>
    <w:p>
      <w:pPr>
        <w:pStyle w:val="Style21"/>
        <w:keepNext w:val="true"/>
        <w:numPr>
          <w:ilvl w:val="0"/>
          <w:numId w:val="0"/>
        </w:numPr>
        <w:ind w:left="0" w:hanging="0"/>
        <w:jc w:val="center"/>
        <w:outlineLvl w:val="2"/>
        <w:rPr>
          <w:b/>
          <w:bCs/>
          <w:caps/>
        </w:rPr>
      </w:pPr>
      <w:r>
        <w:rPr>
          <w:b/>
          <w:bCs/>
          <w:caps/>
        </w:rPr>
        <w:t>Документация о закупке</w:t>
      </w:r>
    </w:p>
    <w:p>
      <w:pPr>
        <w:pStyle w:val="Style21"/>
        <w:keepNext w:val="true"/>
        <w:shd w:val="clear" w:fill="FFFFFF"/>
        <w:spacing w:before="240" w:after="0"/>
        <w:jc w:val="center"/>
        <w:rPr>
          <w:rStyle w:val="Style2"/>
        </w:rPr>
      </w:pPr>
      <w:r>
        <w:rPr/>
        <w:t>Аукцион в электронной форме,</w:t>
        <w:br/>
        <w:t>участниками которого могут быть только субъекты МСП,</w:t>
        <w:br/>
        <w:t>на право заключения договора ОКПД2 26.30.11 Поставка оборудования средств диспетчерского и технологического управления для АО «ДГК» в г. Артеме, Приморский край.</w:t>
      </w:r>
    </w:p>
    <w:p>
      <w:pPr>
        <w:sectPr>
          <w:type w:val="nextPage"/>
          <w:pgSz w:w="11906" w:h="16838"/>
          <w:pgMar w:left="1134" w:right="850" w:gutter="0" w:header="0" w:top="851" w:footer="0" w:bottom="851"/>
          <w:pgNumType w:fmt="decimal"/>
          <w:formProt w:val="false"/>
          <w:textDirection w:val="lrTb"/>
          <w:docGrid w:type="default" w:linePitch="360" w:charSpace="0"/>
        </w:sectPr>
        <w:pStyle w:val="Style21"/>
        <w:keepNext w:val="true"/>
        <w:spacing w:before="240" w:after="0"/>
        <w:jc w:val="center"/>
        <w:rPr/>
      </w:pPr>
      <w:r>
        <w:rPr/>
        <w:t>(Лот № </w:t>
      </w:r>
      <w:r>
        <w:rPr>
          <w:rStyle w:val="Style2"/>
          <w:rFonts w:eastAsia="Times New Roman" w:cs="Times New Roman"/>
          <w:b w:val="false"/>
          <w:bCs w:val="false"/>
          <w:i w:val="false"/>
          <w:iCs w:val="false"/>
          <w:caps w:val="false"/>
          <w:smallCaps w:val="false"/>
          <w:color w:val="000000" w:themeColor="text1"/>
          <w:spacing w:val="0"/>
          <w:sz w:val="24"/>
          <w:szCs w:val="24"/>
          <w:shd w:fill="auto" w:val="clear"/>
        </w:rPr>
        <w:t>32007044-РЕМ ДИТ-2026-ДГК</w:t>
      </w:r>
      <w:r>
        <w:rPr>
          <w:shd w:fill="auto" w:val="clear"/>
        </w:rPr>
        <w:t>)</w:t>
      </w:r>
    </w:p>
    <w:p>
      <w:pPr>
        <w:pStyle w:val="Style20"/>
        <w:numPr>
          <w:ilvl w:val="0"/>
          <w:numId w:val="0"/>
        </w:numPr>
        <w:ind w:left="0" w:hanging="0"/>
        <w:outlineLvl w:val="2"/>
        <w:rPr/>
      </w:pPr>
      <w:r>
        <w:rPr/>
        <w:t>Содержание</w:t>
      </w:r>
    </w:p>
    <w:sdt>
      <w:sdtPr>
        <w:docPartObj>
          <w:docPartGallery w:val="Table of Contents"/>
          <w:docPartUnique w:val="true"/>
        </w:docPartObj>
      </w:sdtPr>
      <w:sdtContent>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r>
            <w:fldChar w:fldCharType="begin"/>
          </w:r>
          <w:r>
            <w:rPr>
              <w:webHidden/>
              <w:rStyle w:val="Style11"/>
              <w:vanish w:val="false"/>
            </w:rPr>
            <w:instrText xml:space="preserve"> TOC \z \u \t "[РГ] Перечисление,5,[РГ] Подпункт,4,[РГ] Пункт,3,[РГ] Подраздел,2,[РГ] Раздел,1,[РГ] Раздел,1,[РГ] Раздел,1,[РГ] Раздел,1,[РГ] Раздел,1,[РГ] Раздел,1,[РГ] Подраздел,2,[РГ] Подраздел,2,[РГ] Подраздел,2,[РГ] Подраздел,2,[РГ] Подраздел,2,[РГ] Пункт,3,[РГ] Пункт,3,[РГ] Пункт,3,[РГ] Пункт,3,[РГ] Подпункт,4,[РГ] Подпункт,4,[РГ] Подпункт,4,[РГ] Подпункт,4,[РГ] Перечисление,5,[РГ] Перечисление,5,[РГ] Перечисление,5,[РГ] Перечисление,5" \h</w:instrText>
          </w:r>
          <w:r>
            <w:rPr>
              <w:webHidden/>
              <w:rStyle w:val="Style11"/>
              <w:vanish w:val="false"/>
            </w:rPr>
            <w:fldChar w:fldCharType="separate"/>
          </w:r>
          <w:hyperlink w:anchor="_Toc228877194" w:tgtFrame="#_Toc228877194">
            <w:r>
              <w:rPr>
                <w:webHidden/>
              </w:rPr>
              <w:fldChar w:fldCharType="begin"/>
            </w:r>
            <w:r>
              <w:rPr>
                <w:webHidden/>
              </w:rPr>
              <w:instrText xml:space="preserve">PAGEREF _Toc228877194 \h</w:instrText>
            </w:r>
            <w:r>
              <w:rPr>
                <w:webHidden/>
              </w:rPr>
              <w:fldChar w:fldCharType="separate"/>
            </w:r>
            <w:r>
              <w:rPr>
                <w:webHidden/>
                <w:rStyle w:val="Style11"/>
                <w:vanish w:val="false"/>
              </w:rPr>
              <w:t>Сокращения</w:t>
              <w:tab/>
              <w:t>6</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195" w:tgtFrame="#_Toc228877195">
            <w:r>
              <w:rPr>
                <w:webHidden/>
              </w:rPr>
              <w:fldChar w:fldCharType="begin"/>
            </w:r>
            <w:r>
              <w:rPr>
                <w:webHidden/>
              </w:rPr>
              <w:instrText xml:space="preserve">PAGEREF _Toc228877195 \h</w:instrText>
            </w:r>
            <w:r>
              <w:rPr>
                <w:webHidden/>
              </w:rPr>
              <w:fldChar w:fldCharType="separate"/>
            </w:r>
            <w:r>
              <w:rPr>
                <w:webHidden/>
                <w:rStyle w:val="Style11"/>
                <w:vanish w:val="false"/>
              </w:rPr>
              <w:t>Термины и определения</w:t>
              <w:tab/>
              <w:t>8</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196" w:tgtFrame="#_Toc228877196">
            <w:r>
              <w:rPr>
                <w:webHidden/>
                <w:rStyle w:val="Style11"/>
                <w:vanish w:val="false"/>
              </w:rPr>
              <w:t>1.</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Основные сведения о закупке</w:t>
            </w:r>
            <w:r>
              <w:rPr>
                <w:webHidden/>
              </w:rPr>
              <w:fldChar w:fldCharType="begin"/>
            </w:r>
            <w:r>
              <w:rPr>
                <w:webHidden/>
              </w:rPr>
              <w:instrText xml:space="preserve">PAGEREF _Toc228877196 \h</w:instrText>
            </w:r>
            <w:r>
              <w:rPr>
                <w:webHidden/>
              </w:rPr>
              <w:fldChar w:fldCharType="separate"/>
            </w:r>
            <w:r>
              <w:rPr>
                <w:rStyle w:val="Style11"/>
                <w:vanish w:val="false"/>
              </w:rPr>
              <w:tab/>
              <w:t>12</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197" w:tgtFrame="#_Toc228877197">
            <w:r>
              <w:rPr>
                <w:webHidden/>
                <w:rStyle w:val="Style11"/>
                <w:vanish w:val="false"/>
              </w:rPr>
              <w:t>1.1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Статус настоящего раздела</w:t>
            </w:r>
            <w:r>
              <w:rPr>
                <w:webHidden/>
              </w:rPr>
              <w:fldChar w:fldCharType="begin"/>
            </w:r>
            <w:r>
              <w:rPr>
                <w:webHidden/>
              </w:rPr>
              <w:instrText xml:space="preserve">PAGEREF _Toc228877197 \h</w:instrText>
            </w:r>
            <w:r>
              <w:rPr>
                <w:webHidden/>
              </w:rPr>
              <w:fldChar w:fldCharType="separate"/>
            </w:r>
            <w:r>
              <w:rPr>
                <w:rStyle w:val="Style11"/>
                <w:vanish w:val="false"/>
              </w:rPr>
              <w:tab/>
              <w:t>12</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198" w:tgtFrame="#_Toc228877198">
            <w:r>
              <w:rPr>
                <w:webHidden/>
                <w:rStyle w:val="Style11"/>
                <w:vanish w:val="false"/>
              </w:rPr>
              <w:t>1.2</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Информация о проводимой закупке</w:t>
            </w:r>
            <w:r>
              <w:rPr>
                <w:webHidden/>
              </w:rPr>
              <w:fldChar w:fldCharType="begin"/>
            </w:r>
            <w:r>
              <w:rPr>
                <w:webHidden/>
              </w:rPr>
              <w:instrText xml:space="preserve">PAGEREF _Toc228877198 \h</w:instrText>
            </w:r>
            <w:r>
              <w:rPr>
                <w:webHidden/>
              </w:rPr>
              <w:fldChar w:fldCharType="separate"/>
            </w:r>
            <w:r>
              <w:rPr>
                <w:rStyle w:val="Style11"/>
                <w:vanish w:val="false"/>
              </w:rPr>
              <w:tab/>
              <w:t>12</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199" w:tgtFrame="#_Toc228877199">
            <w:r>
              <w:rPr>
                <w:webHidden/>
                <w:rStyle w:val="Style11"/>
                <w:vanish w:val="false"/>
              </w:rPr>
              <w:t>2.</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Общие положения</w:t>
            </w:r>
            <w:r>
              <w:rPr>
                <w:webHidden/>
              </w:rPr>
              <w:fldChar w:fldCharType="begin"/>
            </w:r>
            <w:r>
              <w:rPr>
                <w:webHidden/>
              </w:rPr>
              <w:instrText xml:space="preserve">PAGEREF _Toc228877199 \h</w:instrText>
            </w:r>
            <w:r>
              <w:rPr>
                <w:webHidden/>
              </w:rPr>
              <w:fldChar w:fldCharType="separate"/>
            </w:r>
            <w:r>
              <w:rPr>
                <w:rStyle w:val="Style11"/>
                <w:vanish w:val="false"/>
              </w:rPr>
              <w:tab/>
              <w:t>24</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00" w:tgtFrame="#_Toc228877200">
            <w:r>
              <w:rPr>
                <w:webHidden/>
                <w:rStyle w:val="Style11"/>
                <w:vanish w:val="false"/>
              </w:rPr>
              <w:t>2.1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Общие сведения о закупке</w:t>
            </w:r>
            <w:r>
              <w:rPr>
                <w:webHidden/>
              </w:rPr>
              <w:fldChar w:fldCharType="begin"/>
            </w:r>
            <w:r>
              <w:rPr>
                <w:webHidden/>
              </w:rPr>
              <w:instrText xml:space="preserve">PAGEREF _Toc228877200 \h</w:instrText>
            </w:r>
            <w:r>
              <w:rPr>
                <w:webHidden/>
              </w:rPr>
              <w:fldChar w:fldCharType="separate"/>
            </w:r>
            <w:r>
              <w:rPr>
                <w:rStyle w:val="Style11"/>
                <w:vanish w:val="false"/>
              </w:rPr>
              <w:tab/>
              <w:t>24</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01" w:tgtFrame="#_Toc228877201">
            <w:r>
              <w:rPr>
                <w:webHidden/>
                <w:rStyle w:val="Style11"/>
                <w:vanish w:val="false"/>
              </w:rPr>
              <w:t>2.2</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Правовой статус документов</w:t>
            </w:r>
            <w:r>
              <w:rPr>
                <w:webHidden/>
              </w:rPr>
              <w:fldChar w:fldCharType="begin"/>
            </w:r>
            <w:r>
              <w:rPr>
                <w:webHidden/>
              </w:rPr>
              <w:instrText xml:space="preserve">PAGEREF _Toc228877201 \h</w:instrText>
            </w:r>
            <w:r>
              <w:rPr>
                <w:webHidden/>
              </w:rPr>
              <w:fldChar w:fldCharType="separate"/>
            </w:r>
            <w:r>
              <w:rPr>
                <w:rStyle w:val="Style11"/>
                <w:vanish w:val="false"/>
              </w:rPr>
              <w:tab/>
              <w:t>24</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02" w:tgtFrame="#_Toc228877202">
            <w:r>
              <w:rPr>
                <w:webHidden/>
                <w:rStyle w:val="Style11"/>
                <w:vanish w:val="false"/>
              </w:rPr>
              <w:t>2.3</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Обжалование</w:t>
            </w:r>
            <w:r>
              <w:rPr>
                <w:webHidden/>
              </w:rPr>
              <w:fldChar w:fldCharType="begin"/>
            </w:r>
            <w:r>
              <w:rPr>
                <w:webHidden/>
              </w:rPr>
              <w:instrText xml:space="preserve">PAGEREF _Toc228877202 \h</w:instrText>
            </w:r>
            <w:r>
              <w:rPr>
                <w:webHidden/>
              </w:rPr>
              <w:fldChar w:fldCharType="separate"/>
            </w:r>
            <w:r>
              <w:rPr>
                <w:rStyle w:val="Style11"/>
                <w:vanish w:val="false"/>
              </w:rPr>
              <w:tab/>
              <w:t>25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03" w:tgtFrame="#_Toc228877203">
            <w:r>
              <w:rPr>
                <w:webHidden/>
                <w:rStyle w:val="Style11"/>
                <w:vanish w:val="false"/>
              </w:rPr>
              <w:t>2.4</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Особые положения при проведении закупки с использованием ЭП</w:t>
            </w:r>
            <w:r>
              <w:rPr>
                <w:webHidden/>
              </w:rPr>
              <w:fldChar w:fldCharType="begin"/>
            </w:r>
            <w:r>
              <w:rPr>
                <w:webHidden/>
              </w:rPr>
              <w:instrText xml:space="preserve">PAGEREF _Toc228877203 \h</w:instrText>
            </w:r>
            <w:r>
              <w:rPr>
                <w:webHidden/>
              </w:rPr>
              <w:fldChar w:fldCharType="separate"/>
            </w:r>
            <w:r>
              <w:rPr>
                <w:rStyle w:val="Style11"/>
                <w:vanish w:val="false"/>
              </w:rPr>
              <w:tab/>
              <w:t>26</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04" w:tgtFrame="#_Toc228877204">
            <w:r>
              <w:rPr>
                <w:webHidden/>
                <w:rStyle w:val="Style11"/>
                <w:vanish w:val="false"/>
              </w:rPr>
              <w:t>2.5</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Прочие положения</w:t>
            </w:r>
            <w:r>
              <w:rPr>
                <w:webHidden/>
              </w:rPr>
              <w:fldChar w:fldCharType="begin"/>
            </w:r>
            <w:r>
              <w:rPr>
                <w:webHidden/>
              </w:rPr>
              <w:instrText xml:space="preserve">PAGEREF _Toc228877204 \h</w:instrText>
            </w:r>
            <w:r>
              <w:rPr>
                <w:webHidden/>
              </w:rPr>
              <w:fldChar w:fldCharType="separate"/>
            </w:r>
            <w:r>
              <w:rPr>
                <w:rStyle w:val="Style11"/>
                <w:vanish w:val="false"/>
              </w:rPr>
              <w:tab/>
              <w:t>26</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205" w:tgtFrame="#_Toc228877205">
            <w:r>
              <w:rPr>
                <w:webHidden/>
                <w:rStyle w:val="Style11"/>
                <w:vanish w:val="false"/>
              </w:rPr>
              <w:t>3.</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Требования к Участникам</w:t>
            </w:r>
            <w:r>
              <w:rPr>
                <w:webHidden/>
              </w:rPr>
              <w:fldChar w:fldCharType="begin"/>
            </w:r>
            <w:r>
              <w:rPr>
                <w:webHidden/>
              </w:rPr>
              <w:instrText xml:space="preserve">PAGEREF _Toc228877205 \h</w:instrText>
            </w:r>
            <w:r>
              <w:rPr>
                <w:webHidden/>
              </w:rPr>
              <w:fldChar w:fldCharType="separate"/>
            </w:r>
            <w:r>
              <w:rPr>
                <w:rStyle w:val="Style11"/>
                <w:vanish w:val="false"/>
              </w:rPr>
              <w:tab/>
              <w:t>28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06" w:tgtFrame="#_Toc228877206">
            <w:r>
              <w:rPr>
                <w:webHidden/>
                <w:rStyle w:val="Style11"/>
                <w:vanish w:val="false"/>
              </w:rPr>
              <w:t>3.1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Общие требования к Участникам</w:t>
            </w:r>
            <w:r>
              <w:rPr>
                <w:webHidden/>
              </w:rPr>
              <w:fldChar w:fldCharType="begin"/>
            </w:r>
            <w:r>
              <w:rPr>
                <w:webHidden/>
              </w:rPr>
              <w:instrText xml:space="preserve">PAGEREF _Toc228877206 \h</w:instrText>
            </w:r>
            <w:r>
              <w:rPr>
                <w:webHidden/>
              </w:rPr>
              <w:fldChar w:fldCharType="separate"/>
            </w:r>
            <w:r>
              <w:rPr>
                <w:rStyle w:val="Style11"/>
                <w:vanish w:val="false"/>
              </w:rPr>
              <w:tab/>
              <w:t>28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07" w:tgtFrame="#_Toc228877207">
            <w:r>
              <w:rPr>
                <w:webHidden/>
                <w:rStyle w:val="Style11"/>
                <w:vanish w:val="false"/>
              </w:rPr>
              <w:t>3.2</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Генеральные подрядчики</w:t>
            </w:r>
            <w:r>
              <w:rPr>
                <w:webHidden/>
              </w:rPr>
              <w:fldChar w:fldCharType="begin"/>
            </w:r>
            <w:r>
              <w:rPr>
                <w:webHidden/>
              </w:rPr>
              <w:instrText xml:space="preserve">PAGEREF _Toc228877207 \h</w:instrText>
            </w:r>
            <w:r>
              <w:rPr>
                <w:webHidden/>
              </w:rPr>
              <w:fldChar w:fldCharType="separate"/>
            </w:r>
            <w:r>
              <w:rPr>
                <w:rStyle w:val="Style11"/>
                <w:vanish w:val="false"/>
              </w:rPr>
              <w:tab/>
              <w:t>28</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208" w:tgtFrame="#_Toc228877208">
            <w:r>
              <w:rPr>
                <w:webHidden/>
                <w:rStyle w:val="Style11"/>
                <w:vanish w:val="false"/>
              </w:rPr>
              <w:t>4.</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Порядок проведения закупки</w:t>
            </w:r>
            <w:r>
              <w:rPr>
                <w:webHidden/>
              </w:rPr>
              <w:fldChar w:fldCharType="begin"/>
            </w:r>
            <w:r>
              <w:rPr>
                <w:webHidden/>
              </w:rPr>
              <w:instrText xml:space="preserve">PAGEREF _Toc228877208 \h</w:instrText>
            </w:r>
            <w:r>
              <w:rPr>
                <w:webHidden/>
              </w:rPr>
              <w:fldChar w:fldCharType="separate"/>
            </w:r>
            <w:r>
              <w:rPr>
                <w:rStyle w:val="Style11"/>
                <w:vanish w:val="false"/>
              </w:rPr>
              <w:tab/>
              <w:t>30</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09" w:tgtFrame="#_Toc228877209">
            <w:r>
              <w:rPr>
                <w:webHidden/>
                <w:rStyle w:val="Style11"/>
                <w:vanish w:val="false"/>
              </w:rPr>
              <w:t>4.1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Общий порядок проведения закупки</w:t>
            </w:r>
            <w:r>
              <w:rPr>
                <w:webHidden/>
              </w:rPr>
              <w:fldChar w:fldCharType="begin"/>
            </w:r>
            <w:r>
              <w:rPr>
                <w:webHidden/>
              </w:rPr>
              <w:instrText xml:space="preserve">PAGEREF _Toc228877209 \h</w:instrText>
            </w:r>
            <w:r>
              <w:rPr>
                <w:webHidden/>
              </w:rPr>
              <w:fldChar w:fldCharType="separate"/>
            </w:r>
            <w:r>
              <w:rPr>
                <w:rStyle w:val="Style11"/>
                <w:vanish w:val="false"/>
              </w:rPr>
              <w:tab/>
              <w:t>30</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10" w:tgtFrame="#_Toc228877210">
            <w:r>
              <w:rPr>
                <w:webHidden/>
                <w:rStyle w:val="Style11"/>
                <w:vanish w:val="false"/>
              </w:rPr>
              <w:t>4.2</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Официальное размещение Извещения и Документации о закупке</w:t>
            </w:r>
            <w:r>
              <w:rPr>
                <w:webHidden/>
              </w:rPr>
              <w:fldChar w:fldCharType="begin"/>
            </w:r>
            <w:r>
              <w:rPr>
                <w:webHidden/>
              </w:rPr>
              <w:instrText xml:space="preserve">PAGEREF _Toc228877210 \h</w:instrText>
            </w:r>
            <w:r>
              <w:rPr>
                <w:webHidden/>
              </w:rPr>
              <w:fldChar w:fldCharType="separate"/>
            </w:r>
            <w:r>
              <w:rPr>
                <w:rStyle w:val="Style11"/>
                <w:vanish w:val="false"/>
              </w:rPr>
              <w:tab/>
              <w:t>32</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11" w:tgtFrame="#_Toc228877211">
            <w:r>
              <w:rPr>
                <w:webHidden/>
                <w:rStyle w:val="Style11"/>
                <w:vanish w:val="false"/>
              </w:rPr>
              <w:t>4.3</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Подготовка заявки</w:t>
            </w:r>
            <w:r>
              <w:rPr>
                <w:webHidden/>
              </w:rPr>
              <w:fldChar w:fldCharType="begin"/>
            </w:r>
            <w:r>
              <w:rPr>
                <w:webHidden/>
              </w:rPr>
              <w:instrText xml:space="preserve">PAGEREF _Toc228877211 \h</w:instrText>
            </w:r>
            <w:r>
              <w:rPr>
                <w:webHidden/>
              </w:rPr>
              <w:fldChar w:fldCharType="separate"/>
            </w:r>
            <w:r>
              <w:rPr>
                <w:rStyle w:val="Style11"/>
                <w:vanish w:val="false"/>
              </w:rPr>
              <w:tab/>
              <w:t>32</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12" w:tgtFrame="#_Toc228877212">
            <w:r>
              <w:rPr>
                <w:webHidden/>
                <w:rStyle w:val="Style11"/>
                <w:vanish w:val="false"/>
              </w:rPr>
              <w:t>4.4</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Разъяснение Документации о закупке</w:t>
            </w:r>
            <w:r>
              <w:rPr>
                <w:webHidden/>
              </w:rPr>
              <w:fldChar w:fldCharType="begin"/>
            </w:r>
            <w:r>
              <w:rPr>
                <w:webHidden/>
              </w:rPr>
              <w:instrText xml:space="preserve">PAGEREF _Toc228877212 \h</w:instrText>
            </w:r>
            <w:r>
              <w:rPr>
                <w:webHidden/>
              </w:rPr>
              <w:fldChar w:fldCharType="separate"/>
            </w:r>
            <w:r>
              <w:rPr>
                <w:rStyle w:val="Style11"/>
                <w:vanish w:val="false"/>
              </w:rPr>
              <w:tab/>
              <w:t>36</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13" w:tgtFrame="#_Toc228877213">
            <w:r>
              <w:rPr>
                <w:webHidden/>
                <w:rStyle w:val="Style11"/>
                <w:vanish w:val="false"/>
              </w:rPr>
              <w:t>4.5</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Изменения Извещения и (или) Документации о закупке</w:t>
            </w:r>
            <w:r>
              <w:rPr>
                <w:webHidden/>
              </w:rPr>
              <w:fldChar w:fldCharType="begin"/>
            </w:r>
            <w:r>
              <w:rPr>
                <w:webHidden/>
              </w:rPr>
              <w:instrText xml:space="preserve">PAGEREF _Toc228877213 \h</w:instrText>
            </w:r>
            <w:r>
              <w:rPr>
                <w:webHidden/>
              </w:rPr>
              <w:fldChar w:fldCharType="separate"/>
            </w:r>
            <w:r>
              <w:rPr>
                <w:rStyle w:val="Style11"/>
                <w:vanish w:val="false"/>
              </w:rPr>
              <w:tab/>
              <w:t>36</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14" w:tgtFrame="#_Toc228877214">
            <w:r>
              <w:rPr>
                <w:webHidden/>
                <w:rStyle w:val="Style11"/>
                <w:vanish w:val="false"/>
              </w:rPr>
              <w:t>4.6</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Подача заявок и их прием</w:t>
            </w:r>
            <w:r>
              <w:rPr>
                <w:webHidden/>
              </w:rPr>
              <w:fldChar w:fldCharType="begin"/>
            </w:r>
            <w:r>
              <w:rPr>
                <w:webHidden/>
              </w:rPr>
              <w:instrText xml:space="preserve">PAGEREF _Toc228877214 \h</w:instrText>
            </w:r>
            <w:r>
              <w:rPr>
                <w:webHidden/>
              </w:rPr>
              <w:fldChar w:fldCharType="separate"/>
            </w:r>
            <w:r>
              <w:rPr>
                <w:rStyle w:val="Style11"/>
                <w:vanish w:val="false"/>
              </w:rPr>
              <w:tab/>
              <w:t>37</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15" w:tgtFrame="#_Toc228877215">
            <w:r>
              <w:rPr>
                <w:webHidden/>
                <w:rStyle w:val="Style11"/>
                <w:vanish w:val="false"/>
              </w:rPr>
              <w:t>4.7</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Изменение и отзыв заявок</w:t>
            </w:r>
            <w:r>
              <w:rPr>
                <w:webHidden/>
              </w:rPr>
              <w:fldChar w:fldCharType="begin"/>
            </w:r>
            <w:r>
              <w:rPr>
                <w:webHidden/>
              </w:rPr>
              <w:instrText xml:space="preserve">PAGEREF _Toc228877215 \h</w:instrText>
            </w:r>
            <w:r>
              <w:rPr>
                <w:webHidden/>
              </w:rPr>
              <w:fldChar w:fldCharType="separate"/>
            </w:r>
            <w:r>
              <w:rPr>
                <w:rStyle w:val="Style11"/>
                <w:vanish w:val="false"/>
              </w:rPr>
              <w:tab/>
              <w:t>38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16" w:tgtFrame="#_Toc228877216">
            <w:r>
              <w:rPr>
                <w:webHidden/>
                <w:rStyle w:val="Style11"/>
                <w:vanish w:val="false"/>
              </w:rPr>
              <w:t>4.8</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Открытие доступа к первым частям заявок</w:t>
            </w:r>
            <w:r>
              <w:rPr>
                <w:webHidden/>
              </w:rPr>
              <w:fldChar w:fldCharType="begin"/>
            </w:r>
            <w:r>
              <w:rPr>
                <w:webHidden/>
              </w:rPr>
              <w:instrText xml:space="preserve">PAGEREF _Toc228877216 \h</w:instrText>
            </w:r>
            <w:r>
              <w:rPr>
                <w:webHidden/>
              </w:rPr>
              <w:fldChar w:fldCharType="separate"/>
            </w:r>
            <w:r>
              <w:rPr>
                <w:rStyle w:val="Style11"/>
                <w:vanish w:val="false"/>
              </w:rPr>
              <w:tab/>
              <w:t>38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17" w:tgtFrame="#_Toc228877217">
            <w:r>
              <w:rPr>
                <w:webHidden/>
                <w:rStyle w:val="Style11"/>
                <w:vanish w:val="false"/>
              </w:rPr>
              <w:t>4.9</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Рассмотрение первых частей заявок (отборочная стадия)</w:t>
            </w:r>
            <w:r>
              <w:rPr>
                <w:webHidden/>
              </w:rPr>
              <w:fldChar w:fldCharType="begin"/>
            </w:r>
            <w:r>
              <w:rPr>
                <w:webHidden/>
              </w:rPr>
              <w:instrText xml:space="preserve">PAGEREF _Toc228877217 \h</w:instrText>
            </w:r>
            <w:r>
              <w:rPr>
                <w:webHidden/>
              </w:rPr>
              <w:fldChar w:fldCharType="separate"/>
            </w:r>
            <w:r>
              <w:rPr>
                <w:rStyle w:val="Style11"/>
                <w:vanish w:val="false"/>
              </w:rPr>
              <w:tab/>
              <w:t>38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18" w:tgtFrame="#_Toc228877218">
            <w:r>
              <w:rPr>
                <w:webHidden/>
                <w:rStyle w:val="Style11"/>
                <w:vanish w:val="false"/>
              </w:rPr>
              <w:t>4.10</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Проведение аукциона</w:t>
            </w:r>
            <w:r>
              <w:rPr>
                <w:webHidden/>
              </w:rPr>
              <w:fldChar w:fldCharType="begin"/>
            </w:r>
            <w:r>
              <w:rPr>
                <w:webHidden/>
              </w:rPr>
              <w:instrText xml:space="preserve">PAGEREF _Toc228877218 \h</w:instrText>
            </w:r>
            <w:r>
              <w:rPr>
                <w:webHidden/>
              </w:rPr>
              <w:fldChar w:fldCharType="separate"/>
            </w:r>
            <w:r>
              <w:rPr>
                <w:rStyle w:val="Style11"/>
                <w:vanish w:val="false"/>
              </w:rPr>
              <w:tab/>
              <w:t>39</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19" w:tgtFrame="#_Toc228877219">
            <w:r>
              <w:rPr>
                <w:webHidden/>
                <w:rStyle w:val="Style11"/>
                <w:vanish w:val="false"/>
              </w:rPr>
              <w:t>4.11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Открытие доступа ко вторым частям заявок</w:t>
            </w:r>
            <w:r>
              <w:rPr>
                <w:webHidden/>
              </w:rPr>
              <w:fldChar w:fldCharType="begin"/>
            </w:r>
            <w:r>
              <w:rPr>
                <w:webHidden/>
              </w:rPr>
              <w:instrText xml:space="preserve">PAGEREF _Toc228877219 \h</w:instrText>
            </w:r>
            <w:r>
              <w:rPr>
                <w:webHidden/>
              </w:rPr>
              <w:fldChar w:fldCharType="separate"/>
            </w:r>
            <w:r>
              <w:rPr>
                <w:rStyle w:val="Style11"/>
                <w:vanish w:val="false"/>
              </w:rPr>
              <w:tab/>
              <w:t>41</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20" w:tgtFrame="#_Toc228877220">
            <w:r>
              <w:rPr>
                <w:webHidden/>
                <w:rStyle w:val="Style11"/>
                <w:vanish w:val="false"/>
              </w:rPr>
              <w:t>4.12</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Рассмотрение вторых частей заявок (отборочная стадия), в том числе (при необходимости) проведение аккредитации</w:t>
            </w:r>
            <w:r>
              <w:rPr>
                <w:webHidden/>
              </w:rPr>
              <w:fldChar w:fldCharType="begin"/>
            </w:r>
            <w:r>
              <w:rPr>
                <w:webHidden/>
              </w:rPr>
              <w:instrText xml:space="preserve">PAGEREF _Toc228877220 \h</w:instrText>
            </w:r>
            <w:r>
              <w:rPr>
                <w:webHidden/>
              </w:rPr>
              <w:fldChar w:fldCharType="separate"/>
            </w:r>
            <w:r>
              <w:rPr>
                <w:rStyle w:val="Style11"/>
                <w:vanish w:val="false"/>
              </w:rPr>
              <w:tab/>
              <w:t>41</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21" w:tgtFrame="#_Toc228877221">
            <w:r>
              <w:rPr>
                <w:webHidden/>
                <w:rStyle w:val="Style11"/>
                <w:vanish w:val="false"/>
              </w:rPr>
              <w:t>4.13</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Открытие доступа к ценовым предложениям</w:t>
            </w:r>
            <w:r>
              <w:rPr>
                <w:webHidden/>
              </w:rPr>
              <w:fldChar w:fldCharType="begin"/>
            </w:r>
            <w:r>
              <w:rPr>
                <w:webHidden/>
              </w:rPr>
              <w:instrText xml:space="preserve">PAGEREF _Toc228877221 \h</w:instrText>
            </w:r>
            <w:r>
              <w:rPr>
                <w:webHidden/>
              </w:rPr>
              <w:fldChar w:fldCharType="separate"/>
            </w:r>
            <w:r>
              <w:rPr>
                <w:rStyle w:val="Style11"/>
                <w:vanish w:val="false"/>
              </w:rPr>
              <w:tab/>
              <w:t>42</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22" w:tgtFrame="#_Toc228877222">
            <w:r>
              <w:rPr>
                <w:webHidden/>
                <w:rStyle w:val="Style11"/>
                <w:vanish w:val="false"/>
              </w:rPr>
              <w:t>4.14</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Рассмотрение ценовых предложений (отборочная стадия)</w:t>
            </w:r>
            <w:r>
              <w:rPr>
                <w:webHidden/>
              </w:rPr>
              <w:fldChar w:fldCharType="begin"/>
            </w:r>
            <w:r>
              <w:rPr>
                <w:webHidden/>
              </w:rPr>
              <w:instrText xml:space="preserve">PAGEREF _Toc228877222 \h</w:instrText>
            </w:r>
            <w:r>
              <w:rPr>
                <w:webHidden/>
              </w:rPr>
              <w:fldChar w:fldCharType="separate"/>
            </w:r>
            <w:r>
              <w:rPr>
                <w:rStyle w:val="Style11"/>
                <w:vanish w:val="false"/>
              </w:rPr>
              <w:tab/>
              <w:t>42</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23" w:tgtFrame="#_Toc228877223">
            <w:r>
              <w:rPr>
                <w:webHidden/>
                <w:rStyle w:val="Style11"/>
                <w:vanish w:val="false"/>
              </w:rPr>
              <w:t>4.15</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Дополнительные запросы разъяснений заявок</w:t>
            </w:r>
            <w:r>
              <w:rPr>
                <w:webHidden/>
              </w:rPr>
              <w:fldChar w:fldCharType="begin"/>
            </w:r>
            <w:r>
              <w:rPr>
                <w:webHidden/>
              </w:rPr>
              <w:instrText xml:space="preserve">PAGEREF _Toc228877223 \h</w:instrText>
            </w:r>
            <w:r>
              <w:rPr>
                <w:webHidden/>
              </w:rPr>
              <w:fldChar w:fldCharType="separate"/>
            </w:r>
            <w:r>
              <w:rPr>
                <w:rStyle w:val="Style11"/>
                <w:vanish w:val="false"/>
              </w:rPr>
              <w:tab/>
              <w:t>43</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24" w:tgtFrame="#_Toc228877224">
            <w:r>
              <w:rPr>
                <w:webHidden/>
                <w:rStyle w:val="Style11"/>
                <w:vanish w:val="false"/>
              </w:rPr>
              <w:t>4.16</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Оценка и сопоставление заявок</w:t>
            </w:r>
            <w:r>
              <w:rPr>
                <w:webHidden/>
              </w:rPr>
              <w:fldChar w:fldCharType="begin"/>
            </w:r>
            <w:r>
              <w:rPr>
                <w:webHidden/>
              </w:rPr>
              <w:instrText xml:space="preserve">PAGEREF _Toc228877224 \h</w:instrText>
            </w:r>
            <w:r>
              <w:rPr>
                <w:webHidden/>
              </w:rPr>
              <w:fldChar w:fldCharType="separate"/>
            </w:r>
            <w:r>
              <w:rPr>
                <w:rStyle w:val="Style11"/>
                <w:vanish w:val="false"/>
              </w:rPr>
              <w:tab/>
              <w:t>45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25" w:tgtFrame="#_Toc228877225">
            <w:r>
              <w:rPr>
                <w:webHidden/>
                <w:rStyle w:val="Style11"/>
                <w:vanish w:val="false"/>
              </w:rPr>
              <w:t>4.17</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Применение законодательства о национальном режиме</w:t>
            </w:r>
            <w:r>
              <w:rPr>
                <w:webHidden/>
              </w:rPr>
              <w:fldChar w:fldCharType="begin"/>
            </w:r>
            <w:r>
              <w:rPr>
                <w:webHidden/>
              </w:rPr>
              <w:instrText xml:space="preserve">PAGEREF _Toc228877225 \h</w:instrText>
            </w:r>
            <w:r>
              <w:rPr>
                <w:webHidden/>
              </w:rPr>
              <w:fldChar w:fldCharType="separate"/>
            </w:r>
            <w:r>
              <w:rPr>
                <w:rStyle w:val="Style11"/>
                <w:vanish w:val="false"/>
              </w:rPr>
              <w:tab/>
              <w:t>45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26" w:tgtFrame="#_Toc228877226">
            <w:r>
              <w:rPr>
                <w:webHidden/>
                <w:rStyle w:val="Style11"/>
                <w:vanish w:val="false"/>
              </w:rPr>
              <w:t>4.18</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Преференции в части использования российского алюминия</w:t>
            </w:r>
            <w:r>
              <w:rPr>
                <w:webHidden/>
              </w:rPr>
              <w:fldChar w:fldCharType="begin"/>
            </w:r>
            <w:r>
              <w:rPr>
                <w:webHidden/>
              </w:rPr>
              <w:instrText xml:space="preserve">PAGEREF _Toc228877226 \h</w:instrText>
            </w:r>
            <w:r>
              <w:rPr>
                <w:webHidden/>
              </w:rPr>
              <w:fldChar w:fldCharType="separate"/>
            </w:r>
            <w:r>
              <w:rPr>
                <w:rStyle w:val="Style11"/>
                <w:vanish w:val="false"/>
              </w:rPr>
              <w:tab/>
              <w:t>48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27" w:tgtFrame="#_Toc228877227">
            <w:r>
              <w:rPr>
                <w:webHidden/>
                <w:rStyle w:val="Style11"/>
                <w:vanish w:val="false"/>
              </w:rPr>
              <w:t>4.19</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Подведение итогов закупки (определение Победителя)</w:t>
            </w:r>
            <w:r>
              <w:rPr>
                <w:webHidden/>
              </w:rPr>
              <w:fldChar w:fldCharType="begin"/>
            </w:r>
            <w:r>
              <w:rPr>
                <w:webHidden/>
              </w:rPr>
              <w:instrText xml:space="preserve">PAGEREF _Toc228877227 \h</w:instrText>
            </w:r>
            <w:r>
              <w:rPr>
                <w:webHidden/>
              </w:rPr>
              <w:fldChar w:fldCharType="separate"/>
            </w:r>
            <w:r>
              <w:rPr>
                <w:rStyle w:val="Style11"/>
                <w:vanish w:val="false"/>
              </w:rPr>
              <w:tab/>
              <w:t>48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28" w:tgtFrame="#_Toc228877228">
            <w:r>
              <w:rPr>
                <w:webHidden/>
                <w:rStyle w:val="Style11"/>
                <w:vanish w:val="false"/>
              </w:rPr>
              <w:t>4.20</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Признание закупки несостоявшейся</w:t>
            </w:r>
            <w:r>
              <w:rPr>
                <w:webHidden/>
              </w:rPr>
              <w:fldChar w:fldCharType="begin"/>
            </w:r>
            <w:r>
              <w:rPr>
                <w:webHidden/>
              </w:rPr>
              <w:instrText xml:space="preserve">PAGEREF _Toc228877228 \h</w:instrText>
            </w:r>
            <w:r>
              <w:rPr>
                <w:webHidden/>
              </w:rPr>
              <w:fldChar w:fldCharType="separate"/>
            </w:r>
            <w:r>
              <w:rPr>
                <w:rStyle w:val="Style11"/>
                <w:vanish w:val="false"/>
              </w:rPr>
              <w:tab/>
              <w:t>50</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29" w:tgtFrame="#_Toc228877229">
            <w:r>
              <w:rPr>
                <w:webHidden/>
                <w:rStyle w:val="Style11"/>
                <w:vanish w:val="false"/>
              </w:rPr>
              <w:t>4.21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Отказ от проведения закупки (отмена закупки)</w:t>
            </w:r>
            <w:r>
              <w:rPr>
                <w:webHidden/>
              </w:rPr>
              <w:fldChar w:fldCharType="begin"/>
            </w:r>
            <w:r>
              <w:rPr>
                <w:webHidden/>
              </w:rPr>
              <w:instrText xml:space="preserve">PAGEREF _Toc228877229 \h</w:instrText>
            </w:r>
            <w:r>
              <w:rPr>
                <w:webHidden/>
              </w:rPr>
              <w:fldChar w:fldCharType="separate"/>
            </w:r>
            <w:r>
              <w:rPr>
                <w:rStyle w:val="Style11"/>
                <w:vanish w:val="false"/>
              </w:rPr>
              <w:tab/>
              <w:t>52</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30" w:tgtFrame="#_Toc228877230">
            <w:r>
              <w:rPr>
                <w:webHidden/>
                <w:rStyle w:val="Style11"/>
                <w:vanish w:val="false"/>
              </w:rPr>
              <w:t>4.22</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Особенности проведения закупки с необходимостью обеспечения заявки</w:t>
            </w:r>
            <w:r>
              <w:rPr>
                <w:webHidden/>
              </w:rPr>
              <w:fldChar w:fldCharType="begin"/>
            </w:r>
            <w:r>
              <w:rPr>
                <w:webHidden/>
              </w:rPr>
              <w:instrText xml:space="preserve">PAGEREF _Toc228877230 \h</w:instrText>
            </w:r>
            <w:r>
              <w:rPr>
                <w:webHidden/>
              </w:rPr>
              <w:fldChar w:fldCharType="separate"/>
            </w:r>
            <w:r>
              <w:rPr>
                <w:rStyle w:val="Style11"/>
                <w:vanish w:val="false"/>
              </w:rPr>
              <w:tab/>
              <w:t>52</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31" w:tgtFrame="#_Toc228877231">
            <w:r>
              <w:rPr>
                <w:webHidden/>
                <w:rStyle w:val="Style11"/>
                <w:vanish w:val="false"/>
              </w:rPr>
              <w:t>4.23</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Особенности проведения многолотовой закупки</w:t>
            </w:r>
            <w:r>
              <w:rPr>
                <w:webHidden/>
              </w:rPr>
              <w:fldChar w:fldCharType="begin"/>
            </w:r>
            <w:r>
              <w:rPr>
                <w:webHidden/>
              </w:rPr>
              <w:instrText xml:space="preserve">PAGEREF _Toc228877231 \h</w:instrText>
            </w:r>
            <w:r>
              <w:rPr>
                <w:webHidden/>
              </w:rPr>
              <w:fldChar w:fldCharType="separate"/>
            </w:r>
            <w:r>
              <w:rPr>
                <w:rStyle w:val="Style11"/>
                <w:vanish w:val="false"/>
              </w:rPr>
              <w:tab/>
              <w:t>55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32" w:tgtFrame="#_Toc228877232">
            <w:r>
              <w:rPr>
                <w:webHidden/>
                <w:rStyle w:val="Style11"/>
                <w:vanish w:val="false"/>
              </w:rPr>
              <w:t>4.24</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Особенности проведения закупки с выбором нескольких победителей</w:t>
            </w:r>
            <w:r>
              <w:rPr>
                <w:webHidden/>
              </w:rPr>
              <w:fldChar w:fldCharType="begin"/>
            </w:r>
            <w:r>
              <w:rPr>
                <w:webHidden/>
              </w:rPr>
              <w:instrText xml:space="preserve">PAGEREF _Toc228877232 \h</w:instrText>
            </w:r>
            <w:r>
              <w:rPr>
                <w:webHidden/>
              </w:rPr>
              <w:fldChar w:fldCharType="separate"/>
            </w:r>
            <w:r>
              <w:rPr>
                <w:rStyle w:val="Style11"/>
                <w:vanish w:val="false"/>
              </w:rPr>
              <w:tab/>
              <w:t>56</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233" w:tgtFrame="#_Toc228877233">
            <w:r>
              <w:rPr>
                <w:webHidden/>
                <w:rStyle w:val="Style11"/>
                <w:vanish w:val="false"/>
              </w:rPr>
              <w:t>5.</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Порядок заключения Договора</w:t>
            </w:r>
            <w:r>
              <w:rPr>
                <w:webHidden/>
              </w:rPr>
              <w:fldChar w:fldCharType="begin"/>
            </w:r>
            <w:r>
              <w:rPr>
                <w:webHidden/>
              </w:rPr>
              <w:instrText xml:space="preserve">PAGEREF _Toc228877233 \h</w:instrText>
            </w:r>
            <w:r>
              <w:rPr>
                <w:webHidden/>
              </w:rPr>
              <w:fldChar w:fldCharType="separate"/>
            </w:r>
            <w:r>
              <w:rPr>
                <w:rStyle w:val="Style11"/>
                <w:vanish w:val="false"/>
              </w:rPr>
              <w:tab/>
              <w:t>58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34" w:tgtFrame="#_Toc228877234">
            <w:r>
              <w:rPr>
                <w:webHidden/>
                <w:rStyle w:val="Style11"/>
                <w:vanish w:val="false"/>
              </w:rPr>
              <w:t>5.1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Общие положения</w:t>
            </w:r>
            <w:r>
              <w:rPr>
                <w:webHidden/>
              </w:rPr>
              <w:fldChar w:fldCharType="begin"/>
            </w:r>
            <w:r>
              <w:rPr>
                <w:webHidden/>
              </w:rPr>
              <w:instrText xml:space="preserve">PAGEREF _Toc228877234 \h</w:instrText>
            </w:r>
            <w:r>
              <w:rPr>
                <w:webHidden/>
              </w:rPr>
              <w:fldChar w:fldCharType="separate"/>
            </w:r>
            <w:r>
              <w:rPr>
                <w:rStyle w:val="Style11"/>
                <w:vanish w:val="false"/>
              </w:rPr>
              <w:tab/>
              <w:t>58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35" w:tgtFrame="#_Toc228877235">
            <w:r>
              <w:rPr>
                <w:webHidden/>
                <w:rStyle w:val="Style11"/>
                <w:vanish w:val="false"/>
              </w:rPr>
              <w:t>5.2</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Заключение Договора</w:t>
            </w:r>
            <w:r>
              <w:rPr>
                <w:webHidden/>
              </w:rPr>
              <w:fldChar w:fldCharType="begin"/>
            </w:r>
            <w:r>
              <w:rPr>
                <w:webHidden/>
              </w:rPr>
              <w:instrText xml:space="preserve">PAGEREF _Toc228877235 \h</w:instrText>
            </w:r>
            <w:r>
              <w:rPr>
                <w:webHidden/>
              </w:rPr>
              <w:fldChar w:fldCharType="separate"/>
            </w:r>
            <w:r>
              <w:rPr>
                <w:rStyle w:val="Style11"/>
                <w:vanish w:val="false"/>
              </w:rPr>
              <w:tab/>
              <w:t>58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36" w:tgtFrame="#_Toc228877236">
            <w:r>
              <w:rPr>
                <w:webHidden/>
                <w:rStyle w:val="Style11"/>
                <w:vanish w:val="false"/>
              </w:rPr>
              <w:t>5.3</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Уклонение Победителя от заключения Договора</w:t>
            </w:r>
            <w:r>
              <w:rPr>
                <w:webHidden/>
              </w:rPr>
              <w:fldChar w:fldCharType="begin"/>
            </w:r>
            <w:r>
              <w:rPr>
                <w:webHidden/>
              </w:rPr>
              <w:instrText xml:space="preserve">PAGEREF _Toc228877236 \h</w:instrText>
            </w:r>
            <w:r>
              <w:rPr>
                <w:webHidden/>
              </w:rPr>
              <w:fldChar w:fldCharType="separate"/>
            </w:r>
            <w:r>
              <w:rPr>
                <w:rStyle w:val="Style11"/>
                <w:vanish w:val="false"/>
              </w:rPr>
              <w:tab/>
              <w:t>60</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237" w:tgtFrame="#_Toc228877237">
            <w:r>
              <w:rPr>
                <w:webHidden/>
                <w:rStyle w:val="Style11"/>
                <w:vanish w:val="false"/>
              </w:rPr>
              <w:t>6.</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Приложение № 1 – Технические требования</w:t>
            </w:r>
            <w:r>
              <w:rPr>
                <w:webHidden/>
              </w:rPr>
              <w:fldChar w:fldCharType="begin"/>
            </w:r>
            <w:r>
              <w:rPr>
                <w:webHidden/>
              </w:rPr>
              <w:instrText xml:space="preserve">PAGEREF _Toc228877237 \h</w:instrText>
            </w:r>
            <w:r>
              <w:rPr>
                <w:webHidden/>
              </w:rPr>
              <w:fldChar w:fldCharType="separate"/>
            </w:r>
            <w:r>
              <w:rPr>
                <w:rStyle w:val="Style11"/>
                <w:vanish w:val="false"/>
              </w:rPr>
              <w:tab/>
              <w:t>62</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38" w:tgtFrame="#_Toc228877238">
            <w:r>
              <w:rPr>
                <w:webHidden/>
                <w:rStyle w:val="Style11"/>
                <w:vanish w:val="false"/>
              </w:rPr>
              <w:t>6.1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Пояснения к Техническим требованиям</w:t>
            </w:r>
            <w:r>
              <w:rPr>
                <w:webHidden/>
              </w:rPr>
              <w:fldChar w:fldCharType="begin"/>
            </w:r>
            <w:r>
              <w:rPr>
                <w:webHidden/>
              </w:rPr>
              <w:instrText xml:space="preserve">PAGEREF _Toc228877238 \h</w:instrText>
            </w:r>
            <w:r>
              <w:rPr>
                <w:webHidden/>
              </w:rPr>
              <w:fldChar w:fldCharType="separate"/>
            </w:r>
            <w:r>
              <w:rPr>
                <w:rStyle w:val="Style11"/>
                <w:vanish w:val="false"/>
              </w:rPr>
              <w:tab/>
              <w:t>62</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239" w:tgtFrame="#_Toc228877239">
            <w:r>
              <w:rPr>
                <w:webHidden/>
                <w:rStyle w:val="Style11"/>
                <w:vanish w:val="false"/>
              </w:rPr>
              <w:t>7.</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Приложение № 2 – Проект договора</w:t>
            </w:r>
            <w:r>
              <w:rPr>
                <w:webHidden/>
              </w:rPr>
              <w:fldChar w:fldCharType="begin"/>
            </w:r>
            <w:r>
              <w:rPr>
                <w:webHidden/>
              </w:rPr>
              <w:instrText xml:space="preserve">PAGEREF _Toc228877239 \h</w:instrText>
            </w:r>
            <w:r>
              <w:rPr>
                <w:webHidden/>
              </w:rPr>
              <w:fldChar w:fldCharType="separate"/>
            </w:r>
            <w:r>
              <w:rPr>
                <w:rStyle w:val="Style11"/>
                <w:vanish w:val="false"/>
              </w:rPr>
              <w:tab/>
              <w:t>63</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40" w:tgtFrame="#_Toc228877240">
            <w:r>
              <w:rPr>
                <w:webHidden/>
                <w:rStyle w:val="Style11"/>
                <w:vanish w:val="false"/>
              </w:rPr>
              <w:t>7.1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Пояснения к Проекту договора</w:t>
            </w:r>
            <w:r>
              <w:rPr>
                <w:webHidden/>
              </w:rPr>
              <w:fldChar w:fldCharType="begin"/>
            </w:r>
            <w:r>
              <w:rPr>
                <w:webHidden/>
              </w:rPr>
              <w:instrText xml:space="preserve">PAGEREF _Toc228877240 \h</w:instrText>
            </w:r>
            <w:r>
              <w:rPr>
                <w:webHidden/>
              </w:rPr>
              <w:fldChar w:fldCharType="separate"/>
            </w:r>
            <w:r>
              <w:rPr>
                <w:rStyle w:val="Style11"/>
                <w:vanish w:val="false"/>
              </w:rPr>
              <w:tab/>
              <w:t>63</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241" w:tgtFrame="#_Toc228877241">
            <w:r>
              <w:rPr>
                <w:webHidden/>
                <w:rStyle w:val="Style11"/>
                <w:vanish w:val="false"/>
              </w:rPr>
              <w:t>8.</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Приложение № 3 – Требования к Участникам</w:t>
            </w:r>
            <w:r>
              <w:rPr>
                <w:webHidden/>
              </w:rPr>
              <w:fldChar w:fldCharType="begin"/>
            </w:r>
            <w:r>
              <w:rPr>
                <w:webHidden/>
              </w:rPr>
              <w:instrText xml:space="preserve">PAGEREF _Toc228877241 \h</w:instrText>
            </w:r>
            <w:r>
              <w:rPr>
                <w:webHidden/>
              </w:rPr>
              <w:fldChar w:fldCharType="separate"/>
            </w:r>
            <w:r>
              <w:rPr>
                <w:rStyle w:val="Style11"/>
                <w:vanish w:val="false"/>
              </w:rPr>
              <w:tab/>
              <w:t>64</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42" w:tgtFrame="#_Toc228877242">
            <w:r>
              <w:rPr>
                <w:webHidden/>
                <w:rStyle w:val="Style11"/>
                <w:vanish w:val="false"/>
              </w:rPr>
              <w:t>8.1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Пояснения к требованиям к Участникам</w:t>
            </w:r>
            <w:r>
              <w:rPr>
                <w:webHidden/>
              </w:rPr>
              <w:fldChar w:fldCharType="begin"/>
            </w:r>
            <w:r>
              <w:rPr>
                <w:webHidden/>
              </w:rPr>
              <w:instrText xml:space="preserve">PAGEREF _Toc228877242 \h</w:instrText>
            </w:r>
            <w:r>
              <w:rPr>
                <w:webHidden/>
              </w:rPr>
              <w:fldChar w:fldCharType="separate"/>
            </w:r>
            <w:r>
              <w:rPr>
                <w:rStyle w:val="Style11"/>
                <w:vanish w:val="false"/>
              </w:rPr>
              <w:tab/>
              <w:t>64</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43" w:tgtFrame="#_Toc228877243">
            <w:r>
              <w:rPr>
                <w:webHidden/>
                <w:rStyle w:val="Style11"/>
                <w:vanish w:val="false"/>
              </w:rPr>
              <w:t>8.2</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Обязательные требования</w:t>
            </w:r>
            <w:r>
              <w:rPr>
                <w:webHidden/>
              </w:rPr>
              <w:fldChar w:fldCharType="begin"/>
            </w:r>
            <w:r>
              <w:rPr>
                <w:webHidden/>
              </w:rPr>
              <w:instrText xml:space="preserve">PAGEREF _Toc228877243 \h</w:instrText>
            </w:r>
            <w:r>
              <w:rPr>
                <w:webHidden/>
              </w:rPr>
              <w:fldChar w:fldCharType="separate"/>
            </w:r>
            <w:r>
              <w:rPr>
                <w:rStyle w:val="Style11"/>
                <w:vanish w:val="false"/>
              </w:rPr>
              <w:tab/>
              <w:t>64</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44" w:tgtFrame="#_Toc228877244">
            <w:r>
              <w:rPr>
                <w:webHidden/>
                <w:rStyle w:val="Style11"/>
                <w:vanish w:val="false"/>
              </w:rPr>
              <w:t>8.3</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Специальные требования</w:t>
            </w:r>
            <w:r>
              <w:rPr>
                <w:webHidden/>
              </w:rPr>
              <w:fldChar w:fldCharType="begin"/>
            </w:r>
            <w:r>
              <w:rPr>
                <w:webHidden/>
              </w:rPr>
              <w:instrText xml:space="preserve">PAGEREF _Toc228877244 \h</w:instrText>
            </w:r>
            <w:r>
              <w:rPr>
                <w:webHidden/>
              </w:rPr>
              <w:fldChar w:fldCharType="separate"/>
            </w:r>
            <w:r>
              <w:rPr>
                <w:rStyle w:val="Style11"/>
                <w:vanish w:val="false"/>
              </w:rPr>
              <w:tab/>
              <w:t>68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45" w:tgtFrame="#_Toc228877245">
            <w:r>
              <w:rPr>
                <w:webHidden/>
                <w:rStyle w:val="Style11"/>
                <w:vanish w:val="false"/>
              </w:rPr>
              <w:t>8.4</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Дополнительные требования к Генеральным подрядчикам</w:t>
            </w:r>
            <w:r>
              <w:rPr>
                <w:webHidden/>
              </w:rPr>
              <w:fldChar w:fldCharType="begin"/>
            </w:r>
            <w:r>
              <w:rPr>
                <w:webHidden/>
              </w:rPr>
              <w:instrText xml:space="preserve">PAGEREF _Toc228877245 \h</w:instrText>
            </w:r>
            <w:r>
              <w:rPr>
                <w:webHidden/>
              </w:rPr>
              <w:fldChar w:fldCharType="separate"/>
            </w:r>
            <w:r>
              <w:rPr>
                <w:rStyle w:val="Style11"/>
                <w:vanish w:val="false"/>
              </w:rPr>
              <w:tab/>
              <w:t>69</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246" w:tgtFrame="#_Toc228877246">
            <w:r>
              <w:rPr>
                <w:webHidden/>
                <w:rStyle w:val="Style11"/>
                <w:vanish w:val="false"/>
              </w:rPr>
              <w:t>9.</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Приложение № 4 – Образцы форм документов, включаемых в состав заявки</w:t>
            </w:r>
            <w:r>
              <w:rPr>
                <w:webHidden/>
              </w:rPr>
              <w:fldChar w:fldCharType="begin"/>
            </w:r>
            <w:r>
              <w:rPr>
                <w:webHidden/>
              </w:rPr>
              <w:instrText xml:space="preserve">PAGEREF _Toc228877246 \h</w:instrText>
            </w:r>
            <w:r>
              <w:rPr>
                <w:webHidden/>
              </w:rPr>
              <w:fldChar w:fldCharType="separate"/>
            </w:r>
            <w:r>
              <w:rPr>
                <w:rStyle w:val="Style11"/>
                <w:vanish w:val="false"/>
              </w:rPr>
              <w:tab/>
              <w:t>71</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47" w:tgtFrame="#_Toc228877247">
            <w:r>
              <w:rPr>
                <w:webHidden/>
                <w:rStyle w:val="Style11"/>
                <w:vanish w:val="false"/>
              </w:rPr>
              <w:t>9.1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Пояснения к Образцам форм документов, включаемых в состав заявки</w:t>
            </w:r>
            <w:r>
              <w:rPr>
                <w:webHidden/>
              </w:rPr>
              <w:fldChar w:fldCharType="begin"/>
            </w:r>
            <w:r>
              <w:rPr>
                <w:webHidden/>
              </w:rPr>
              <w:instrText xml:space="preserve">PAGEREF _Toc228877247 \h</w:instrText>
            </w:r>
            <w:r>
              <w:rPr>
                <w:webHidden/>
              </w:rPr>
              <w:fldChar w:fldCharType="separate"/>
            </w:r>
            <w:r>
              <w:rPr>
                <w:rStyle w:val="Style11"/>
                <w:vanish w:val="false"/>
              </w:rPr>
              <w:tab/>
              <w:t>71</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248" w:tgtFrame="#_Toc228877248">
            <w:r>
              <w:rPr>
                <w:webHidden/>
                <w:rStyle w:val="Style11"/>
                <w:vanish w:val="false"/>
              </w:rPr>
              <w:t>10.</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Приложение № 5 – Образцы форм документов, предоставляемых Победителем</w:t>
            </w:r>
            <w:r>
              <w:rPr>
                <w:webHidden/>
              </w:rPr>
              <w:fldChar w:fldCharType="begin"/>
            </w:r>
            <w:r>
              <w:rPr>
                <w:webHidden/>
              </w:rPr>
              <w:instrText xml:space="preserve">PAGEREF _Toc228877248 \h</w:instrText>
            </w:r>
            <w:r>
              <w:rPr>
                <w:webHidden/>
              </w:rPr>
              <w:fldChar w:fldCharType="separate"/>
            </w:r>
            <w:r>
              <w:rPr>
                <w:rStyle w:val="Style11"/>
                <w:vanish w:val="false"/>
              </w:rPr>
              <w:tab/>
              <w:t>72</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49" w:tgtFrame="#_Toc228877249">
            <w:r>
              <w:rPr>
                <w:webHidden/>
                <w:rStyle w:val="Style11"/>
                <w:vanish w:val="false"/>
              </w:rPr>
              <w:t>10.1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Пояснения к Образцам форм документов, предоставляемых Победителем</w:t>
            </w:r>
            <w:r>
              <w:rPr>
                <w:webHidden/>
              </w:rPr>
              <w:fldChar w:fldCharType="begin"/>
            </w:r>
            <w:r>
              <w:rPr>
                <w:webHidden/>
              </w:rPr>
              <w:instrText xml:space="preserve">PAGEREF _Toc228877249 \h</w:instrText>
            </w:r>
            <w:r>
              <w:rPr>
                <w:webHidden/>
              </w:rPr>
              <w:fldChar w:fldCharType="separate"/>
            </w:r>
            <w:r>
              <w:rPr>
                <w:rStyle w:val="Style11"/>
                <w:vanish w:val="false"/>
              </w:rPr>
              <w:tab/>
              <w:t>72</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50" w:tgtFrame="#_Toc228877250">
            <w:r>
              <w:rPr>
                <w:webHidden/>
                <w:rStyle w:val="Style11"/>
                <w:vanish w:val="false"/>
              </w:rPr>
              <w:t>10.2</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Форма справки «Сведения о цепочке собственников, включая бенефициаров (в том числе конечных)»</w:t>
            </w:r>
            <w:r>
              <w:rPr>
                <w:webHidden/>
              </w:rPr>
              <w:fldChar w:fldCharType="begin"/>
            </w:r>
            <w:r>
              <w:rPr>
                <w:webHidden/>
              </w:rPr>
              <w:instrText xml:space="preserve">PAGEREF _Toc228877250 \h</w:instrText>
            </w:r>
            <w:r>
              <w:rPr>
                <w:webHidden/>
              </w:rPr>
              <w:fldChar w:fldCharType="separate"/>
            </w:r>
            <w:r>
              <w:rPr>
                <w:rStyle w:val="Style11"/>
                <w:vanish w:val="false"/>
              </w:rPr>
              <w:tab/>
              <w:t>72</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51" w:tgtFrame="#_Toc228877251">
            <w:r>
              <w:rPr>
                <w:webHidden/>
                <w:rStyle w:val="Style11"/>
                <w:vanish w:val="false"/>
              </w:rPr>
              <w:t>10.3</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Форма «Заверение об обстоятельствах»</w:t>
            </w:r>
            <w:r>
              <w:rPr>
                <w:webHidden/>
              </w:rPr>
              <w:fldChar w:fldCharType="begin"/>
            </w:r>
            <w:r>
              <w:rPr>
                <w:webHidden/>
              </w:rPr>
              <w:instrText xml:space="preserve">PAGEREF _Toc228877251 \h</w:instrText>
            </w:r>
            <w:r>
              <w:rPr>
                <w:webHidden/>
              </w:rPr>
              <w:fldChar w:fldCharType="separate"/>
            </w:r>
            <w:r>
              <w:rPr>
                <w:rStyle w:val="Style11"/>
                <w:vanish w:val="false"/>
              </w:rPr>
              <w:tab/>
              <w:t>72</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252" w:tgtFrame="#_Toc228877252">
            <w:r>
              <w:rPr>
                <w:webHidden/>
                <w:rStyle w:val="Style11"/>
                <w:vanish w:val="false"/>
              </w:rPr>
              <w:t>11.</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Приложение № 6 – Состав заявки</w:t>
            </w:r>
            <w:r>
              <w:rPr>
                <w:webHidden/>
              </w:rPr>
              <w:fldChar w:fldCharType="begin"/>
            </w:r>
            <w:r>
              <w:rPr>
                <w:webHidden/>
              </w:rPr>
              <w:instrText xml:space="preserve">PAGEREF _Toc228877252 \h</w:instrText>
            </w:r>
            <w:r>
              <w:rPr>
                <w:webHidden/>
              </w:rPr>
              <w:fldChar w:fldCharType="separate"/>
            </w:r>
            <w:r>
              <w:rPr>
                <w:rStyle w:val="Style11"/>
                <w:vanish w:val="false"/>
              </w:rPr>
              <w:tab/>
              <w:t>74</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53" w:tgtFrame="#_Toc228877253">
            <w:r>
              <w:rPr>
                <w:webHidden/>
                <w:rStyle w:val="Style11"/>
                <w:vanish w:val="false"/>
              </w:rPr>
              <w:t>11.1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Состав заявки</w:t>
            </w:r>
            <w:r>
              <w:rPr>
                <w:webHidden/>
              </w:rPr>
              <w:fldChar w:fldCharType="begin"/>
            </w:r>
            <w:r>
              <w:rPr>
                <w:webHidden/>
              </w:rPr>
              <w:instrText xml:space="preserve">PAGEREF _Toc228877253 \h</w:instrText>
            </w:r>
            <w:r>
              <w:rPr>
                <w:webHidden/>
              </w:rPr>
              <w:fldChar w:fldCharType="separate"/>
            </w:r>
            <w:r>
              <w:rPr>
                <w:rStyle w:val="Style11"/>
                <w:vanish w:val="false"/>
              </w:rPr>
              <w:tab/>
              <w:t>74</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254" w:tgtFrame="#_Toc228877254">
            <w:r>
              <w:rPr>
                <w:webHidden/>
                <w:rStyle w:val="Style11"/>
                <w:vanish w:val="false"/>
              </w:rPr>
              <w:t>12.</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Приложение № 7 – Отборочные критерии рассмотрения заявок</w:t>
            </w:r>
            <w:r>
              <w:rPr>
                <w:webHidden/>
              </w:rPr>
              <w:fldChar w:fldCharType="begin"/>
            </w:r>
            <w:r>
              <w:rPr>
                <w:webHidden/>
              </w:rPr>
              <w:instrText xml:space="preserve">PAGEREF _Toc228877254 \h</w:instrText>
            </w:r>
            <w:r>
              <w:rPr>
                <w:webHidden/>
              </w:rPr>
              <w:fldChar w:fldCharType="separate"/>
            </w:r>
            <w:r>
              <w:rPr>
                <w:rStyle w:val="Style11"/>
                <w:vanish w:val="false"/>
              </w:rPr>
              <w:tab/>
              <w:t>76</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55" w:tgtFrame="#_Toc228877255">
            <w:r>
              <w:rPr>
                <w:webHidden/>
                <w:rStyle w:val="Style11"/>
                <w:vanish w:val="false"/>
              </w:rPr>
              <w:t>12.1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Отборочные критерии рассмотрения первых частей заявок</w:t>
            </w:r>
            <w:r>
              <w:rPr>
                <w:webHidden/>
              </w:rPr>
              <w:fldChar w:fldCharType="begin"/>
            </w:r>
            <w:r>
              <w:rPr>
                <w:webHidden/>
              </w:rPr>
              <w:instrText xml:space="preserve">PAGEREF _Toc228877255 \h</w:instrText>
            </w:r>
            <w:r>
              <w:rPr>
                <w:webHidden/>
              </w:rPr>
              <w:fldChar w:fldCharType="separate"/>
            </w:r>
            <w:r>
              <w:rPr>
                <w:rStyle w:val="Style11"/>
                <w:vanish w:val="false"/>
              </w:rPr>
              <w:tab/>
              <w:t>76</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56" w:tgtFrame="#_Toc228877256">
            <w:r>
              <w:rPr>
                <w:webHidden/>
                <w:rStyle w:val="Style11"/>
                <w:vanish w:val="false"/>
              </w:rPr>
              <w:t>12.2</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Дополнительные критерии проверки первых частей заявок на соответствия условиям Документации о закупке</w:t>
            </w:r>
            <w:r>
              <w:rPr>
                <w:webHidden/>
              </w:rPr>
              <w:fldChar w:fldCharType="begin"/>
            </w:r>
            <w:r>
              <w:rPr>
                <w:webHidden/>
              </w:rPr>
              <w:instrText xml:space="preserve">PAGEREF _Toc228877256 \h</w:instrText>
            </w:r>
            <w:r>
              <w:rPr>
                <w:webHidden/>
              </w:rPr>
              <w:fldChar w:fldCharType="separate"/>
            </w:r>
            <w:r>
              <w:rPr>
                <w:rStyle w:val="Style11"/>
                <w:vanish w:val="false"/>
              </w:rPr>
              <w:tab/>
              <w:t>77</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57" w:tgtFrame="#_Toc228877257">
            <w:r>
              <w:rPr>
                <w:webHidden/>
                <w:rStyle w:val="Style11"/>
                <w:vanish w:val="false"/>
              </w:rPr>
              <w:t>12.3</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Отборочные критерии рассмотрения вторых частей заявок</w:t>
            </w:r>
            <w:r>
              <w:rPr>
                <w:webHidden/>
              </w:rPr>
              <w:fldChar w:fldCharType="begin"/>
            </w:r>
            <w:r>
              <w:rPr>
                <w:webHidden/>
              </w:rPr>
              <w:instrText xml:space="preserve">PAGEREF _Toc228877257 \h</w:instrText>
            </w:r>
            <w:r>
              <w:rPr>
                <w:webHidden/>
              </w:rPr>
              <w:fldChar w:fldCharType="separate"/>
            </w:r>
            <w:r>
              <w:rPr>
                <w:rStyle w:val="Style11"/>
                <w:vanish w:val="false"/>
              </w:rPr>
              <w:tab/>
              <w:t>78</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58" w:tgtFrame="#_Toc228877258">
            <w:r>
              <w:rPr>
                <w:webHidden/>
                <w:rStyle w:val="Style11"/>
                <w:vanish w:val="false"/>
              </w:rPr>
              <w:t>12.4</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Отборочные критерии рассмотрения ценовых предложений</w:t>
            </w:r>
            <w:r>
              <w:rPr>
                <w:webHidden/>
              </w:rPr>
              <w:fldChar w:fldCharType="begin"/>
            </w:r>
            <w:r>
              <w:rPr>
                <w:webHidden/>
              </w:rPr>
              <w:instrText xml:space="preserve">PAGEREF _Toc228877258 \h</w:instrText>
            </w:r>
            <w:r>
              <w:rPr>
                <w:webHidden/>
              </w:rPr>
              <w:fldChar w:fldCharType="separate"/>
            </w:r>
            <w:r>
              <w:rPr>
                <w:rStyle w:val="Style11"/>
                <w:vanish w:val="false"/>
              </w:rPr>
              <w:tab/>
              <w:t>81</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59" w:tgtFrame="#_Toc228877259">
            <w:r>
              <w:rPr>
                <w:webHidden/>
                <w:rStyle w:val="Style11"/>
                <w:vanish w:val="false"/>
              </w:rPr>
              <w:t>12.5</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Дополнительные критерии проверки заявок на соответствие условиям Документации о закупке</w:t>
            </w:r>
            <w:r>
              <w:rPr>
                <w:webHidden/>
              </w:rPr>
              <w:fldChar w:fldCharType="begin"/>
            </w:r>
            <w:r>
              <w:rPr>
                <w:webHidden/>
              </w:rPr>
              <w:instrText xml:space="preserve">PAGEREF _Toc228877259 \h</w:instrText>
            </w:r>
            <w:r>
              <w:rPr>
                <w:webHidden/>
              </w:rPr>
              <w:fldChar w:fldCharType="separate"/>
            </w:r>
            <w:r>
              <w:rPr>
                <w:rStyle w:val="Style11"/>
                <w:vanish w:val="false"/>
              </w:rPr>
              <w:tab/>
              <w:t>82</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260" w:tgtFrame="#_Toc228877260">
            <w:r>
              <w:rPr>
                <w:webHidden/>
                <w:rStyle w:val="Style11"/>
                <w:vanish w:val="false"/>
              </w:rPr>
              <w:t>13.</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Приложение № 8 – Порядок и критерии оценки и сопоставления заявок</w:t>
            </w:r>
            <w:r>
              <w:rPr>
                <w:webHidden/>
              </w:rPr>
              <w:fldChar w:fldCharType="begin"/>
            </w:r>
            <w:r>
              <w:rPr>
                <w:webHidden/>
              </w:rPr>
              <w:instrText xml:space="preserve">PAGEREF _Toc228877260 \h</w:instrText>
            </w:r>
            <w:r>
              <w:rPr>
                <w:webHidden/>
              </w:rPr>
              <w:fldChar w:fldCharType="separate"/>
            </w:r>
            <w:r>
              <w:rPr>
                <w:rStyle w:val="Style11"/>
                <w:vanish w:val="false"/>
              </w:rPr>
              <w:tab/>
              <w:t>84</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61" w:tgtFrame="#_Toc228877261">
            <w:r>
              <w:rPr>
                <w:webHidden/>
                <w:rStyle w:val="Style11"/>
                <w:vanish w:val="false"/>
              </w:rPr>
              <w:t>13.1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Порядок и критерии оценки и сопоставления заявок</w:t>
            </w:r>
            <w:r>
              <w:rPr>
                <w:webHidden/>
              </w:rPr>
              <w:fldChar w:fldCharType="begin"/>
            </w:r>
            <w:r>
              <w:rPr>
                <w:webHidden/>
              </w:rPr>
              <w:instrText xml:space="preserve">PAGEREF _Toc228877261 \h</w:instrText>
            </w:r>
            <w:r>
              <w:rPr>
                <w:webHidden/>
              </w:rPr>
              <w:fldChar w:fldCharType="separate"/>
            </w:r>
            <w:r>
              <w:rPr>
                <w:rStyle w:val="Style11"/>
                <w:vanish w:val="false"/>
              </w:rPr>
              <w:tab/>
              <w:t>84</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262" w:tgtFrame="#_Toc228877262">
            <w:r>
              <w:rPr>
                <w:webHidden/>
                <w:rStyle w:val="Style11"/>
                <w:vanish w:val="false"/>
              </w:rPr>
              <w:t>14.</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Приложение № 9 – Обоснование НМЦ</w:t>
            </w:r>
            <w:r>
              <w:rPr>
                <w:webHidden/>
              </w:rPr>
              <w:fldChar w:fldCharType="begin"/>
            </w:r>
            <w:r>
              <w:rPr>
                <w:webHidden/>
              </w:rPr>
              <w:instrText xml:space="preserve">PAGEREF _Toc228877262 \h</w:instrText>
            </w:r>
            <w:r>
              <w:rPr>
                <w:webHidden/>
              </w:rPr>
              <w:fldChar w:fldCharType="separate"/>
            </w:r>
            <w:r>
              <w:rPr>
                <w:rStyle w:val="Style11"/>
                <w:vanish w:val="false"/>
              </w:rPr>
              <w:tab/>
              <w:t>85</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63" w:tgtFrame="#_Toc228877263">
            <w:r>
              <w:rPr>
                <w:webHidden/>
                <w:rStyle w:val="Style11"/>
                <w:vanish w:val="false"/>
              </w:rPr>
              <w:t>14.1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Пояснения к Обоснованию НМЦ</w:t>
            </w:r>
            <w:r>
              <w:rPr>
                <w:webHidden/>
              </w:rPr>
              <w:fldChar w:fldCharType="begin"/>
            </w:r>
            <w:r>
              <w:rPr>
                <w:webHidden/>
              </w:rPr>
              <w:instrText xml:space="preserve">PAGEREF _Toc228877263 \h</w:instrText>
            </w:r>
            <w:r>
              <w:rPr>
                <w:webHidden/>
              </w:rPr>
              <w:fldChar w:fldCharType="separate"/>
            </w:r>
            <w:r>
              <w:rPr>
                <w:rStyle w:val="Style11"/>
                <w:vanish w:val="false"/>
              </w:rPr>
              <w:tab/>
              <w:t>85</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264" w:tgtFrame="#_Toc228877264">
            <w:r>
              <w:rPr>
                <w:webHidden/>
                <w:rStyle w:val="Style11"/>
                <w:vanish w:val="false"/>
              </w:rPr>
              <w:t>15.</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Приложение № 10 – Форма Заявки на аккредитацию</w:t>
            </w:r>
            <w:r>
              <w:rPr>
                <w:webHidden/>
              </w:rPr>
              <w:fldChar w:fldCharType="begin"/>
            </w:r>
            <w:r>
              <w:rPr>
                <w:webHidden/>
              </w:rPr>
              <w:instrText xml:space="preserve">PAGEREF _Toc228877264 \h</w:instrText>
            </w:r>
            <w:r>
              <w:rPr>
                <w:webHidden/>
              </w:rPr>
              <w:fldChar w:fldCharType="separate"/>
            </w:r>
            <w:r>
              <w:rPr>
                <w:rStyle w:val="Style11"/>
                <w:vanish w:val="false"/>
              </w:rPr>
              <w:tab/>
              <w:t>86</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65" w:tgtFrame="#_Toc228877265">
            <w:r>
              <w:rPr>
                <w:webHidden/>
                <w:rStyle w:val="Style11"/>
                <w:vanish w:val="false"/>
              </w:rPr>
              <w:t>15.1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Пояснения к форме Заявки на аккредитацию</w:t>
            </w:r>
            <w:r>
              <w:rPr>
                <w:webHidden/>
              </w:rPr>
              <w:fldChar w:fldCharType="begin"/>
            </w:r>
            <w:r>
              <w:rPr>
                <w:webHidden/>
              </w:rPr>
              <w:instrText xml:space="preserve">PAGEREF _Toc228877265 \h</w:instrText>
            </w:r>
            <w:r>
              <w:rPr>
                <w:webHidden/>
              </w:rPr>
              <w:fldChar w:fldCharType="separate"/>
            </w:r>
            <w:r>
              <w:rPr>
                <w:rStyle w:val="Style11"/>
                <w:vanish w:val="false"/>
              </w:rPr>
              <w:tab/>
              <w:t>86</w:t>
            </w:r>
            <w:r>
              <w:rPr>
                <w:webHidden/>
              </w:rPr>
              <w:fldChar w:fldCharType="end"/>
            </w:r>
          </w:hyperlink>
        </w:p>
        <w:p>
          <w:pPr>
            <w:pStyle w:val="TOC1"/>
            <w:rPr>
              <w:rFonts w:ascii="Calibri" w:hAnsi="Calibri" w:eastAsia="Arial" w:asciiTheme="minorHAnsi" w:eastAsiaTheme="minorEastAsia" w:hAnsiTheme="minorHAnsi"/>
              <w:b w:val="false"/>
              <w:caps w:val="false"/>
              <w:smallCaps w:val="false"/>
              <w:sz w:val="24"/>
              <w:szCs w:val="24"/>
              <w:lang w:eastAsia="ru-RU"/>
              <w14:ligatures w14:val="standardContextual"/>
            </w:rPr>
          </w:pPr>
          <w:hyperlink w:anchor="_Toc228877266" w:tgtFrame="#_Toc228877266">
            <w:r>
              <w:rPr>
                <w:webHidden/>
                <w:rStyle w:val="Style11"/>
                <w:vanish w:val="false"/>
              </w:rPr>
              <w:t>16.</w:t>
            </w:r>
            <w:r>
              <w:rPr>
                <w:rStyle w:val="Style11"/>
                <w:rFonts w:eastAsia="Arial" w:ascii="Calibri" w:hAnsi="Calibri" w:asciiTheme="minorHAnsi" w:eastAsiaTheme="minorEastAsia" w:hAnsiTheme="minorHAnsi"/>
                <w:b w:val="false"/>
                <w:caps w:val="false"/>
                <w:smallCaps w:val="false"/>
                <w:sz w:val="24"/>
                <w:szCs w:val="24"/>
                <w:lang w:eastAsia="ru-RU"/>
                <w14:ligatures w14:val="standardContextual"/>
              </w:rPr>
              <w:tab/>
            </w:r>
            <w:r>
              <w:rPr>
                <w:rStyle w:val="Style11"/>
              </w:rPr>
              <w:t>Приложение № 11 – форма Данных бухгалтерской (финансовой) отчетности</w:t>
            </w:r>
            <w:r>
              <w:rPr>
                <w:webHidden/>
              </w:rPr>
              <w:fldChar w:fldCharType="begin"/>
            </w:r>
            <w:r>
              <w:rPr>
                <w:webHidden/>
              </w:rPr>
              <w:instrText xml:space="preserve">PAGEREF _Toc228877266 \h</w:instrText>
            </w:r>
            <w:r>
              <w:rPr>
                <w:webHidden/>
              </w:rPr>
              <w:fldChar w:fldCharType="separate"/>
            </w:r>
            <w:r>
              <w:rPr>
                <w:rStyle w:val="Style11"/>
                <w:vanish w:val="false"/>
              </w:rPr>
              <w:tab/>
              <w:t>87</w:t>
            </w:r>
            <w:r>
              <w:rPr>
                <w:webHidden/>
              </w:rPr>
              <w:fldChar w:fldCharType="end"/>
            </w:r>
          </w:hyperlink>
        </w:p>
        <w:p>
          <w:pPr>
            <w:pStyle w:val="TOC2"/>
            <w:rPr>
              <w:rFonts w:ascii="Calibri" w:hAnsi="Calibri" w:eastAsia="Arial" w:asciiTheme="minorHAnsi" w:eastAsiaTheme="minorEastAsia" w:hAnsiTheme="minorHAnsi"/>
              <w:sz w:val="24"/>
              <w:szCs w:val="24"/>
              <w:lang w:eastAsia="ru-RU"/>
              <w14:ligatures w14:val="standardContextual"/>
            </w:rPr>
          </w:pPr>
          <w:hyperlink w:anchor="_Toc228877267" w:tgtFrame="#_Toc228877267">
            <w:r>
              <w:rPr>
                <w:webHidden/>
                <w:rStyle w:val="Style11"/>
                <w:vanish w:val="false"/>
              </w:rPr>
              <w:t>16.1</w:t>
            </w:r>
            <w:r>
              <w:rPr>
                <w:rStyle w:val="Style11"/>
                <w:rFonts w:eastAsia="Arial" w:ascii="Calibri" w:hAnsi="Calibri" w:asciiTheme="minorHAnsi" w:eastAsiaTheme="minorEastAsia" w:hAnsiTheme="minorHAnsi"/>
                <w:sz w:val="24"/>
                <w:szCs w:val="24"/>
                <w:lang w:eastAsia="ru-RU"/>
                <w14:ligatures w14:val="standardContextual"/>
              </w:rPr>
              <w:tab/>
            </w:r>
            <w:r>
              <w:rPr>
                <w:rStyle w:val="Style11"/>
              </w:rPr>
              <w:t>Пояснения к форме Данных бухгалтерской (финансовой) отчетности</w:t>
            </w:r>
            <w:r>
              <w:rPr>
                <w:webHidden/>
              </w:rPr>
              <w:fldChar w:fldCharType="begin"/>
            </w:r>
            <w:r>
              <w:rPr>
                <w:webHidden/>
              </w:rPr>
              <w:instrText xml:space="preserve">PAGEREF _Toc228877267 \h</w:instrText>
            </w:r>
            <w:r>
              <w:rPr>
                <w:webHidden/>
              </w:rPr>
              <w:fldChar w:fldCharType="separate"/>
            </w:r>
            <w:r>
              <w:rPr>
                <w:rStyle w:val="Style11"/>
                <w:vanish w:val="false"/>
              </w:rPr>
              <w:tab/>
              <w:t>87</w:t>
            </w:r>
            <w:r>
              <w:rPr>
                <w:webHidden/>
              </w:rPr>
              <w:fldChar w:fldCharType="end"/>
            </w:r>
          </w:hyperlink>
          <w:r>
            <w:rPr>
              <w:rStyle w:val="Style11"/>
              <w:vanish w:val="false"/>
            </w:rPr>
            <w:fldChar w:fldCharType="end"/>
          </w:r>
        </w:p>
      </w:sdtContent>
    </w:sdt>
    <w:p>
      <w:pPr>
        <w:pStyle w:val="Style21"/>
        <w:jc w:val="both"/>
        <w:rPr/>
      </w:pPr>
      <w:r>
        <w:rPr/>
      </w:r>
    </w:p>
    <w:p>
      <w:pPr>
        <w:pStyle w:val="Style21"/>
        <w:keepNext w:val="true"/>
        <w:spacing w:before="60" w:after="0"/>
        <w:rPr>
          <w:rStyle w:val="Style8"/>
        </w:rPr>
      </w:pPr>
      <w:r>
        <w:rPr>
          <w:rStyle w:val="Style8"/>
        </w:rPr>
        <w:t xml:space="preserve">[Примечание (дополнительные удобства работы с Документацией о закупке; Microsoft Word | </w:t>
      </w:r>
      <w:r>
        <w:rPr>
          <w:rStyle w:val="Style8"/>
          <w:color w:val="4472C4" w:themeColor="accent1"/>
        </w:rPr>
        <w:t>AlterOffice AText – отмечены отличая для данного текстового редактора</w:t>
      </w:r>
      <w:r>
        <w:rPr>
          <w:rStyle w:val="Style8"/>
        </w:rPr>
        <w:t>):</w:t>
      </w:r>
    </w:p>
    <w:p>
      <w:pPr>
        <w:pStyle w:val="Style21"/>
        <w:numPr>
          <w:ilvl w:val="0"/>
          <w:numId w:val="9"/>
        </w:numPr>
        <w:spacing w:before="60" w:after="0"/>
        <w:ind w:left="284" w:hanging="284"/>
        <w:rPr>
          <w:rStyle w:val="Style8"/>
        </w:rPr>
      </w:pPr>
      <w:r>
        <w:rPr>
          <w:rStyle w:val="Style8"/>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Style8"/>
          <w:color w:val="4472C4" w:themeColor="accent1"/>
        </w:rPr>
        <w:t>включается на вкладке «Вид» опцией «Навигатор»</w:t>
      </w:r>
      <w:r>
        <w:rPr>
          <w:rStyle w:val="Style8"/>
        </w:rPr>
        <w:t>;</w:t>
      </w:r>
    </w:p>
    <w:p>
      <w:pPr>
        <w:pStyle w:val="Style21"/>
        <w:numPr>
          <w:ilvl w:val="0"/>
          <w:numId w:val="9"/>
        </w:numPr>
        <w:spacing w:before="60" w:after="0"/>
        <w:ind w:left="284" w:hanging="284"/>
        <w:rPr>
          <w:rStyle w:val="Style8"/>
        </w:rPr>
      </w:pPr>
      <w:r>
        <w:rPr>
          <w:rStyle w:val="Style8"/>
        </w:rPr>
        <w:t>переход по перекрестным и другим ссылкам осуществляется левым кликом мыши с</w:t>
      </w:r>
      <w:r>
        <w:rPr>
          <w:rStyle w:val="Style8"/>
          <w:lang w:val="en-US"/>
        </w:rPr>
        <w:t> </w:t>
      </w:r>
      <w:r>
        <w:rPr>
          <w:rStyle w:val="Style8"/>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Style8"/>
          <w:color w:val="4472C4" w:themeColor="accent1"/>
        </w:rPr>
        <w:t>(обратный переход функционально не реализован в AlterOffice AText, пользуйтесь функциональностью «Навигатор»)</w:t>
      </w:r>
      <w:r>
        <w:rPr>
          <w:rStyle w:val="Style8"/>
        </w:rPr>
        <w:t>;</w:t>
      </w:r>
    </w:p>
    <w:p>
      <w:pPr>
        <w:pStyle w:val="Style21"/>
        <w:numPr>
          <w:ilvl w:val="0"/>
          <w:numId w:val="9"/>
        </w:numPr>
        <w:spacing w:before="60" w:after="0"/>
        <w:ind w:left="284" w:hanging="284"/>
        <w:rPr>
          <w:rStyle w:val="Style8"/>
        </w:rPr>
      </w:pPr>
      <w:r>
        <w:rPr>
          <w:rStyle w:val="Style8"/>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Style8"/>
          <w:lang w:val="en-US"/>
        </w:rPr>
        <w:t> </w:t>
      </w:r>
      <w:r>
        <w:rPr>
          <w:rStyle w:val="Style8"/>
        </w:rPr>
        <w:t>тексте;</w:t>
      </w:r>
    </w:p>
    <w:p>
      <w:pPr>
        <w:pStyle w:val="Style21"/>
        <w:numPr>
          <w:ilvl w:val="0"/>
          <w:numId w:val="9"/>
        </w:numPr>
        <w:spacing w:before="60" w:after="0"/>
        <w:ind w:left="284" w:hanging="284"/>
        <w:rPr>
          <w:rStyle w:val="Style8"/>
        </w:rPr>
      </w:pPr>
      <w:r>
        <w:rPr>
          <w:rStyle w:val="Style8"/>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Style8"/>
        </w:rPr>
        <w:t>.]</w:t>
      </w:r>
    </w:p>
    <w:p>
      <w:pPr>
        <w:pStyle w:val="Style20"/>
        <w:numPr>
          <w:ilvl w:val="0"/>
          <w:numId w:val="0"/>
        </w:numPr>
        <w:ind w:left="0" w:hanging="0"/>
        <w:outlineLvl w:val="0"/>
        <w:rPr/>
      </w:pPr>
      <w:bookmarkStart w:id="0" w:name="_Toc228877194"/>
      <w:r>
        <w:rPr/>
        <w:t>Сокращения</w:t>
      </w:r>
      <w:bookmarkEnd w:id="0"/>
    </w:p>
    <w:p>
      <w:pPr>
        <w:pStyle w:val="Style21"/>
        <w:ind w:firstLine="567"/>
        <w:rPr/>
      </w:pPr>
      <w:r>
        <w:rPr>
          <w:b/>
          <w:bCs/>
        </w:rPr>
        <w:t>ГК РФ</w:t>
      </w:r>
      <w:r>
        <w:rPr/>
        <w:t xml:space="preserve"> – Гражданской кодекс Российской Федерации.</w:t>
      </w:r>
    </w:p>
    <w:p>
      <w:pPr>
        <w:pStyle w:val="Style21"/>
        <w:ind w:firstLine="567"/>
        <w:rPr/>
      </w:pPr>
      <w:r>
        <w:rPr>
          <w:b/>
          <w:bCs/>
        </w:rPr>
        <w:t>Декларация ПИРААП</w:t>
      </w:r>
      <w:r>
        <w:rPr/>
        <w:t xml:space="preserve"> – декларация о подтверждении использования при изготовлении продукции российского алюминия и (или) его полуфабрикатов с указанием их доли в общем объеме используемого алюминия и (или) его полуфабрикатов в натуральном выражении.</w:t>
      </w:r>
    </w:p>
    <w:p>
      <w:pPr>
        <w:pStyle w:val="Style21"/>
        <w:ind w:firstLine="567"/>
        <w:rPr/>
      </w:pPr>
      <w:r>
        <w:rPr>
          <w:b/>
          <w:bCs/>
        </w:rPr>
        <w:t>ЕАЭС</w:t>
      </w:r>
      <w:r>
        <w:rPr/>
        <w:t xml:space="preserve"> – Евразийский экономический союз.</w:t>
      </w:r>
    </w:p>
    <w:p>
      <w:pPr>
        <w:pStyle w:val="Style21"/>
        <w:ind w:firstLine="567"/>
        <w:rPr/>
      </w:pPr>
      <w:r>
        <w:rPr>
          <w:b/>
          <w:bCs/>
        </w:rPr>
        <w:t>ЕГРИП</w:t>
      </w:r>
      <w:r>
        <w:rPr/>
        <w:t xml:space="preserve"> – Единый государственный реестр индивидуальных предпринимателей.</w:t>
      </w:r>
    </w:p>
    <w:p>
      <w:pPr>
        <w:pStyle w:val="Style21"/>
        <w:ind w:firstLine="567"/>
        <w:rPr/>
      </w:pPr>
      <w:r>
        <w:rPr>
          <w:b/>
          <w:bCs/>
        </w:rPr>
        <w:t>ЕГРЮЛ</w:t>
      </w:r>
      <w:r>
        <w:rPr/>
        <w:t xml:space="preserve"> – Единый государственный реестр юридических лиц.</w:t>
      </w:r>
    </w:p>
    <w:p>
      <w:pPr>
        <w:pStyle w:val="Style21"/>
        <w:ind w:firstLine="567"/>
        <w:rPr/>
      </w:pPr>
      <w:r>
        <w:rPr>
          <w:b/>
          <w:bCs/>
        </w:rPr>
        <w:t>ЕИС</w:t>
      </w:r>
      <w:r>
        <w:rPr/>
        <w:t xml:space="preserve"> – Единая информационная система в сфере закупок.</w:t>
      </w:r>
    </w:p>
    <w:p>
      <w:pPr>
        <w:pStyle w:val="Style21"/>
        <w:ind w:firstLine="567"/>
        <w:rPr/>
      </w:pPr>
      <w:r>
        <w:rPr>
          <w:b/>
          <w:bCs/>
        </w:rPr>
        <w:t>Закон 44-ФЗ</w:t>
      </w:r>
      <w:r>
        <w:rPr/>
        <w:t xml:space="preserve"> – Федеральный закон от 05.04.2013 № 44-ФЗ «О контрактной системе в</w:t>
      </w:r>
      <w:r>
        <w:rPr>
          <w:lang w:val="en-US"/>
        </w:rPr>
        <w:t> </w:t>
      </w:r>
      <w:r>
        <w:rPr/>
        <w:t>сфере закупок товаров, работ, услуг для обеспечения государственных и муниципальных нужд».</w:t>
      </w:r>
    </w:p>
    <w:p>
      <w:pPr>
        <w:pStyle w:val="Style21"/>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1"/>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1"/>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1"/>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1"/>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1"/>
        <w:ind w:firstLine="567"/>
        <w:rPr/>
      </w:pPr>
      <w:r>
        <w:rPr>
          <w:b/>
          <w:bCs/>
        </w:rPr>
        <w:t>Извещение</w:t>
      </w:r>
      <w:r>
        <w:rPr/>
        <w:t xml:space="preserve"> – извещение о проведении настоящей закупки.</w:t>
      </w:r>
    </w:p>
    <w:p>
      <w:pPr>
        <w:pStyle w:val="Style21"/>
        <w:ind w:firstLine="567"/>
        <w:rPr/>
      </w:pPr>
      <w:r>
        <w:rPr>
          <w:b/>
          <w:bCs/>
        </w:rPr>
        <w:t>ИНН</w:t>
      </w:r>
      <w:r>
        <w:rPr/>
        <w:t xml:space="preserve"> – идентификационный номер налогоплательщика.</w:t>
      </w:r>
    </w:p>
    <w:p>
      <w:pPr>
        <w:pStyle w:val="Style21"/>
        <w:ind w:firstLine="567"/>
        <w:rPr/>
      </w:pPr>
      <w:r>
        <w:rPr>
          <w:b/>
          <w:bCs/>
        </w:rPr>
        <w:t>ИФНС</w:t>
      </w:r>
      <w:r>
        <w:rPr/>
        <w:t xml:space="preserve"> – инспекция Федеральной налоговой службы Российской Федерации.</w:t>
      </w:r>
    </w:p>
    <w:p>
      <w:pPr>
        <w:pStyle w:val="Style21"/>
        <w:ind w:firstLine="567"/>
        <w:rPr/>
      </w:pPr>
      <w:r>
        <w:rPr>
          <w:b/>
          <w:bCs/>
        </w:rPr>
        <w:t>МТР</w:t>
      </w:r>
      <w:r>
        <w:rPr/>
        <w:t xml:space="preserve"> – материально-технические ресурсы.</w:t>
      </w:r>
    </w:p>
    <w:p>
      <w:pPr>
        <w:pStyle w:val="Style21"/>
        <w:ind w:firstLine="567"/>
        <w:rPr/>
      </w:pPr>
      <w:r>
        <w:rPr>
          <w:b/>
          <w:bCs/>
        </w:rPr>
        <w:t>НДС</w:t>
      </w:r>
      <w:r>
        <w:rPr/>
        <w:t xml:space="preserve"> – налог на добавленную стоимость.</w:t>
      </w:r>
    </w:p>
    <w:p>
      <w:pPr>
        <w:pStyle w:val="Style21"/>
        <w:ind w:firstLine="567"/>
        <w:rPr/>
      </w:pPr>
      <w:r>
        <w:rPr>
          <w:b/>
          <w:bCs/>
        </w:rPr>
        <w:t>НМЦ</w:t>
      </w:r>
      <w:r>
        <w:rPr/>
        <w:t xml:space="preserve"> – начальная (максимальная) цена договора.</w:t>
      </w:r>
    </w:p>
    <w:p>
      <w:pPr>
        <w:pStyle w:val="Style21"/>
        <w:ind w:firstLine="567"/>
        <w:rPr/>
      </w:pPr>
      <w:r>
        <w:rPr>
          <w:b/>
          <w:bCs/>
        </w:rPr>
        <w:t>Оператор ЭП</w:t>
      </w:r>
      <w:r>
        <w:rPr/>
        <w:t xml:space="preserve"> – оператор электронной площадки.</w:t>
      </w:r>
    </w:p>
    <w:p>
      <w:pPr>
        <w:pStyle w:val="Style21"/>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1"/>
        <w:ind w:firstLine="567"/>
        <w:rPr/>
      </w:pPr>
      <w:r>
        <w:rPr>
          <w:b/>
          <w:bCs/>
        </w:rPr>
        <w:t>Положение о закупке</w:t>
      </w:r>
      <w:r>
        <w:rPr/>
        <w:t xml:space="preserve"> – Единое Положение о закупке продукции для нужд Группы РусГидро.</w:t>
      </w:r>
    </w:p>
    <w:p>
      <w:pPr>
        <w:pStyle w:val="Style21"/>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1"/>
        <w:ind w:firstLine="567"/>
        <w:rPr/>
      </w:pPr>
      <w:r>
        <w:rPr>
          <w:b/>
          <w:bCs/>
        </w:rPr>
        <w:t>ПП 325</w:t>
      </w:r>
      <w:r>
        <w:rPr/>
        <w:t xml:space="preserve"> – постановление Правительства Российской Федерации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pPr>
        <w:pStyle w:val="Style21"/>
        <w:ind w:firstLine="567"/>
        <w:rPr/>
      </w:pPr>
      <w:r>
        <w:rPr>
          <w:b/>
          <w:bCs/>
        </w:rPr>
        <w:t>ПП 719</w:t>
      </w:r>
      <w:r>
        <w:rPr/>
        <w:t xml:space="preserve"> – постановление Правительства Российской Федерации от 17.07. 2014 № 719 «О подтверждении производства российской промышленной продукции».</w:t>
      </w:r>
    </w:p>
    <w:p>
      <w:pPr>
        <w:pStyle w:val="Style21"/>
        <w:ind w:firstLine="567"/>
        <w:rPr/>
      </w:pPr>
      <w:r>
        <w:rPr>
          <w:b/>
          <w:bCs/>
        </w:rPr>
        <w:t>ПП 1352</w:t>
      </w:r>
      <w:r>
        <w:rPr/>
        <w:t xml:space="preserve"> – постановление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1"/>
        <w:ind w:firstLine="567"/>
        <w:rPr/>
      </w:pPr>
      <w:r>
        <w:rPr>
          <w:b/>
          <w:bCs/>
        </w:rPr>
        <w:t>ПП 1875</w:t>
      </w:r>
      <w:r>
        <w:rPr/>
        <w:t xml:space="preserve"> – постановление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1"/>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1"/>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1"/>
        <w:ind w:firstLine="567"/>
        <w:rPr/>
      </w:pPr>
      <w:r>
        <w:rPr>
          <w:b/>
          <w:bCs/>
        </w:rPr>
        <w:t>Субъект МСП</w:t>
      </w:r>
      <w:r>
        <w:rPr/>
        <w:t xml:space="preserve"> – субъект малого и среднего предпринимательства.</w:t>
      </w:r>
    </w:p>
    <w:p>
      <w:pPr>
        <w:pStyle w:val="Style21"/>
        <w:ind w:firstLine="567"/>
        <w:rPr/>
      </w:pPr>
      <w:r>
        <w:rPr>
          <w:b/>
          <w:bCs/>
        </w:rPr>
        <w:t>ЭП</w:t>
      </w:r>
      <w:r>
        <w:rPr/>
        <w:t xml:space="preserve"> – электронная площадка.</w:t>
      </w:r>
    </w:p>
    <w:p>
      <w:pPr>
        <w:pStyle w:val="Style20"/>
        <w:numPr>
          <w:ilvl w:val="0"/>
          <w:numId w:val="0"/>
        </w:numPr>
        <w:ind w:left="0" w:hanging="0"/>
        <w:outlineLvl w:val="0"/>
        <w:rPr/>
      </w:pPr>
      <w:bookmarkStart w:id="1" w:name="_Toc228877195"/>
      <w:r>
        <w:rPr/>
        <w:t>Термины и определения</w:t>
      </w:r>
      <w:bookmarkEnd w:id="1"/>
    </w:p>
    <w:p>
      <w:pPr>
        <w:pStyle w:val="Style21"/>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1"/>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1"/>
        <w:ind w:firstLine="567"/>
        <w:rPr/>
      </w:pPr>
      <w:r>
        <w:rPr>
          <w:b/>
          <w:bCs/>
        </w:rPr>
        <w:t>Вторая часть заявки</w:t>
      </w:r>
      <w:r>
        <w:rPr/>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без указания сведений о ценовом предложении Участника).</w:t>
      </w:r>
    </w:p>
    <w:p>
      <w:pPr>
        <w:pStyle w:val="Style21"/>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1"/>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1"/>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1"/>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1"/>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1"/>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1"/>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1"/>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1"/>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1"/>
        <w:ind w:firstLine="567"/>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1"/>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1"/>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1"/>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1"/>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1"/>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1"/>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1"/>
        <w:ind w:firstLine="567"/>
        <w:rPr/>
      </w:pPr>
      <w:r>
        <w:rPr>
          <w:b/>
          <w:bCs/>
        </w:rPr>
        <w:t>Официальное размещение</w:t>
      </w:r>
      <w:r>
        <w:rPr/>
        <w:t xml:space="preserve"> – размещение информации о закупке в ЕИС, на Официальном сайте </w:t>
      </w:r>
      <w:bookmarkStart w:id="2" w:name="_Hlk149048701"/>
      <w:r>
        <w:rPr/>
        <w:t>(с размещением копий на ЭП)</w:t>
      </w:r>
      <w:bookmarkEnd w:id="2"/>
      <w:r>
        <w:rPr/>
        <w:t>.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21"/>
        <w:ind w:firstLine="567"/>
        <w:rPr/>
      </w:pPr>
      <w:r>
        <w:rPr>
          <w:b/>
          <w:bCs/>
        </w:rPr>
        <w:t>Первая часть заявки</w:t>
      </w:r>
      <w:r>
        <w:rPr/>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w:t>
      </w:r>
    </w:p>
    <w:p>
      <w:pPr>
        <w:pStyle w:val="Style21"/>
        <w:ind w:firstLine="567"/>
        <w:rPr/>
      </w:pPr>
      <w:r>
        <w:rPr>
          <w:b/>
          <w:bCs/>
        </w:rPr>
        <w:t>Победитель</w:t>
      </w:r>
      <w:r>
        <w:rPr/>
        <w:t xml:space="preserve"> – Участник, заявка которого соответствует требованиям Документации о закупке и который предложил наиболее низкую стоимость заявки (цену Договора)</w:t>
      </w:r>
      <w:r>
        <w:rPr>
          <w:rStyle w:val="FootnoteReference"/>
        </w:rPr>
        <w:footnoteReference w:id="2"/>
      </w:r>
      <w:r>
        <w:rPr/>
        <w:t>.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1"/>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1"/>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1"/>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21"/>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равных условий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1"/>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1"/>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1"/>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1"/>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3"/>
      </w:r>
      <w:r>
        <w:rPr/>
        <w:t>, если иное не установлено в Документации о закупке.</w:t>
      </w:r>
    </w:p>
    <w:p>
      <w:pPr>
        <w:pStyle w:val="Style21"/>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w:t>
      </w:r>
      <w:r>
        <w:rPr>
          <w:rFonts w:eastAsia="Calibri" w:cs="Times New Roman"/>
          <w:shd w:fill="FFFFFF" w:val="clear"/>
        </w:rPr>
        <w:t>в том числе выданной в порядке передоверия,</w:t>
      </w:r>
      <w:r>
        <w:rPr/>
        <w:t xml:space="preserve"> от имени организации, полномочия которых подтверждены соответствующими документами.</w:t>
      </w:r>
    </w:p>
    <w:p>
      <w:pPr>
        <w:pStyle w:val="Style21"/>
        <w:ind w:firstLine="567"/>
        <w:rPr/>
      </w:pPr>
      <w:r>
        <w:rPr>
          <w:b/>
          <w:bCs/>
        </w:rPr>
        <w:t>Участник</w:t>
      </w:r>
      <w:r>
        <w:rPr/>
        <w:t xml:space="preserve"> – любое юридическое лицо,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в том числе индивидуальный предприниматель,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1"/>
        <w:ind w:firstLine="567"/>
        <w:rPr/>
      </w:pPr>
      <w:r>
        <w:rPr>
          <w:b/>
          <w:bCs/>
        </w:rPr>
        <w:t>Ценовое предложение</w:t>
      </w:r>
      <w:r>
        <w:rPr/>
        <w:t xml:space="preserve"> – комплект документов, не входящих в состав заявки, но подаваемых в течение 1 (одного) рабочего дня после завершения процедуры аукциона и содержащих предложение Участника о цене Договора и (или) каждой единицы продукции, являющейся предметом Договора, и (или) формулу расчета цены Договора и (или) расходы на эксплуатацию и ремонт товаров, использование результатов работ / услуг и (или) любые иные сведения / документы, требуемые в соответствии с Документацией о закупке и содержащие информацию о ценовых параметрах предложения Участника, в соответствии с заявленной им в ходе аукциона стоимости заявки (ценой Договора).</w:t>
      </w:r>
    </w:p>
    <w:p>
      <w:pPr>
        <w:pStyle w:val="Style15"/>
        <w:rPr/>
      </w:pPr>
      <w:bookmarkStart w:id="3" w:name="_Ref125359988"/>
      <w:bookmarkStart w:id="4" w:name="_Toc228877196"/>
      <w:r>
        <w:rPr/>
        <w:t>Основные сведения о закупке</w:t>
      </w:r>
      <w:bookmarkEnd w:id="3"/>
      <w:bookmarkEnd w:id="4"/>
    </w:p>
    <w:p>
      <w:pPr>
        <w:pStyle w:val="Style16"/>
        <w:rPr/>
      </w:pPr>
      <w:bookmarkStart w:id="5" w:name="_Toc228877197"/>
      <w:r>
        <w:rPr/>
        <w:t>Статус настоящего раздела</w:t>
      </w:r>
      <w:bookmarkEnd w:id="5"/>
    </w:p>
    <w:p>
      <w:pPr>
        <w:pStyle w:val="Style17"/>
        <w:rPr/>
      </w:pPr>
      <w:r>
        <w:rPr/>
        <w:t>В настоящем разделе содержатся основные сведения о предмете, способе и иных ключевых условиях проводимой закупки.</w:t>
      </w:r>
    </w:p>
    <w:p>
      <w:pPr>
        <w:pStyle w:val="Style17"/>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tgtFrame="#Прил01_ТехТребования">
        <w:r>
          <w:rPr>
            <w:rStyle w:val="Style5"/>
          </w:rPr>
          <w:t>Технических требованиях (Приложение № 1)</w:t>
        </w:r>
      </w:hyperlink>
      <w:r>
        <w:rPr>
          <w:rStyle w:val="Style5"/>
        </w:rPr>
        <w:t>,</w:t>
      </w:r>
      <w:r>
        <w:rPr/>
        <w:t xml:space="preserve"> в </w:t>
      </w:r>
      <w:hyperlink w:anchor="Прил02_ПроектДоговора" w:tgtFrame="#Прил02_ПроектДоговора">
        <w:r>
          <w:rPr>
            <w:rStyle w:val="Style5"/>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17"/>
        <w:rPr/>
      </w:pPr>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p>
    <w:p>
      <w:pPr>
        <w:pStyle w:val="Style16"/>
        <w:spacing w:before="360" w:after="120"/>
        <w:rPr/>
      </w:pPr>
      <w:bookmarkStart w:id="6" w:name="_Ref125359973"/>
      <w:bookmarkStart w:id="7" w:name="_Ref127270076"/>
      <w:bookmarkStart w:id="8" w:name="_Ref132876309"/>
      <w:bookmarkStart w:id="9" w:name="_Toc228877198"/>
      <w:r>
        <w:rPr/>
        <w:t>Информация о проводимой закупке</w:t>
      </w:r>
      <w:bookmarkEnd w:id="6"/>
      <w:bookmarkEnd w:id="7"/>
      <w:bookmarkEnd w:id="8"/>
      <w:bookmarkEnd w:id="9"/>
    </w:p>
    <w:tbl>
      <w:tblPr>
        <w:tblStyle w:val="1482"/>
        <w:tblW w:w="9912"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6"/>
        <w:gridCol w:w="2974"/>
        <w:gridCol w:w="5812"/>
      </w:tblGrid>
      <w:tr>
        <w:trPr/>
        <w:tc>
          <w:tcPr>
            <w:tcW w:w="1126"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w:t>
            </w:r>
            <w:r>
              <w:rPr>
                <w:rFonts w:eastAsia="Calibri"/>
                <w:b/>
                <w:kern w:val="0"/>
                <w:sz w:val="26"/>
                <w:szCs w:val="22"/>
                <w:lang w:val="ru-RU" w:eastAsia="en-US" w:bidi="ar-SA"/>
              </w:rPr>
              <w:br/>
              <w:t>п/п</w:t>
            </w:r>
          </w:p>
        </w:tc>
        <w:tc>
          <w:tcPr>
            <w:tcW w:w="2974"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Наименование пункта</w:t>
            </w:r>
          </w:p>
        </w:tc>
        <w:tc>
          <w:tcPr>
            <w:tcW w:w="5812"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Содержание пункта</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10" w:name="_Ref125360980"/>
            <w:bookmarkStart w:id="11" w:name="_Ref125360980"/>
            <w:bookmarkEnd w:id="11"/>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Способ закупки:</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Аукцион в электронной форме, участниками которого могут быть только субъекты МСП.</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12" w:name="_Ref125360996"/>
            <w:bookmarkStart w:id="13" w:name="_Ref125360996"/>
            <w:bookmarkEnd w:id="13"/>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Предмет Договора</w:t>
              <w:br/>
              <w:t>(в том числе номер лота):</w:t>
            </w:r>
          </w:p>
        </w:tc>
        <w:tc>
          <w:tcPr>
            <w:tcW w:w="5812" w:type="dxa"/>
            <w:tcBorders/>
          </w:tcPr>
          <w:p>
            <w:pPr>
              <w:pStyle w:val="Normal"/>
              <w:keepNext w:val="true"/>
              <w:widowControl w:val="false"/>
              <w:shd w:val="clear" w:fill="FFFFFF"/>
              <w:spacing w:before="240" w:after="0"/>
              <w:jc w:val="left"/>
              <w:rPr/>
            </w:pPr>
            <w:r>
              <w:rPr/>
              <w:t>ОКПД2 26.30.11 Поставка оборудования средств диспетчерского и технологического управления для АО «ДГК» в г. Артеме, Приморский край.</w:t>
            </w:r>
            <w:r>
              <w:rPr>
                <w:rStyle w:val="Style2"/>
                <w:rFonts w:eastAsia="Calibri"/>
                <w:i/>
                <w:iCs/>
                <w:kern w:val="0"/>
                <w:sz w:val="26"/>
                <w:szCs w:val="22"/>
                <w:shd w:fill="auto" w:val="clear"/>
                <w:lang w:val="ru-RU" w:eastAsia="en-US" w:bidi="ar-SA"/>
              </w:rPr>
              <w:t xml:space="preserve">        </w:t>
            </w:r>
            <w:r>
              <w:rPr>
                <w:rStyle w:val="Style2"/>
                <w:rFonts w:eastAsia="Calibri"/>
                <w:i w:val="false"/>
                <w:iCs w:val="false"/>
                <w:kern w:val="0"/>
                <w:sz w:val="26"/>
                <w:szCs w:val="22"/>
                <w:shd w:fill="auto" w:val="clear"/>
                <w:lang w:val="ru-RU" w:eastAsia="en-US" w:bidi="ar-SA"/>
              </w:rPr>
              <w:t>Лот №</w:t>
            </w:r>
            <w:r>
              <w:rPr>
                <w:rStyle w:val="Style2"/>
                <w:rFonts w:eastAsia="Calibri"/>
                <w:i/>
                <w:iCs/>
                <w:kern w:val="0"/>
                <w:sz w:val="26"/>
                <w:szCs w:val="22"/>
                <w:shd w:fill="auto" w:val="clear"/>
                <w:lang w:val="ru-RU" w:eastAsia="en-US" w:bidi="ar-SA"/>
              </w:rPr>
              <w:t> </w:t>
            </w:r>
            <w:r>
              <w:rPr>
                <w:rStyle w:val="Style2"/>
                <w:rFonts w:eastAsia="Times New Roman" w:cs="Times New Roman"/>
                <w:b w:val="false"/>
                <w:bCs w:val="false"/>
                <w:i w:val="false"/>
                <w:iCs w:val="false"/>
                <w:caps w:val="false"/>
                <w:smallCaps w:val="false"/>
                <w:color w:val="000000" w:themeColor="text1"/>
                <w:spacing w:val="0"/>
                <w:kern w:val="0"/>
                <w:sz w:val="24"/>
                <w:szCs w:val="24"/>
                <w:shd w:fill="auto" w:val="clear"/>
                <w:lang w:eastAsia="en-US" w:bidi="ar-SA"/>
              </w:rPr>
              <w:t>32007044-РЕМ ДИТ-2026-ДГК</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tc>
        <w:tc>
          <w:tcPr>
            <w:tcW w:w="2974"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Описание</w:t>
              <w:br/>
              <w:t>предмета закупки:</w:t>
            </w:r>
          </w:p>
        </w:tc>
        <w:tc>
          <w:tcPr>
            <w:tcW w:w="5812" w:type="dxa"/>
            <w:tcBorders/>
          </w:tcPr>
          <w:p>
            <w:pPr>
              <w:pStyle w:val="Style21"/>
              <w:widowControl w:val="false"/>
              <w:spacing w:before="60" w:after="60"/>
              <w:rPr/>
            </w:pPr>
            <w:r>
              <w:rPr>
                <w:rFonts w:eastAsia="Calibri"/>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tgtFrame="#Прил01_ТехТребования">
              <w:r>
                <w:rPr>
                  <w:rStyle w:val="Style5"/>
                  <w:rFonts w:eastAsia="Calibri"/>
                  <w:kern w:val="0"/>
                  <w:sz w:val="26"/>
                  <w:szCs w:val="22"/>
                  <w:lang w:val="ru-RU" w:eastAsia="en-US" w:bidi="ar-SA"/>
                </w:rPr>
                <w:t>Технических требованиях (Приложении № 1)</w:t>
              </w:r>
            </w:hyperlink>
            <w:r>
              <w:rPr>
                <w:rFonts w:eastAsia="Calibri"/>
                <w:kern w:val="0"/>
                <w:sz w:val="26"/>
                <w:szCs w:val="22"/>
                <w:lang w:val="ru-RU" w:eastAsia="en-US" w:bidi="ar-SA"/>
              </w:rPr>
              <w:t>, в части требований, обусловленных законодательством о национальном режиме дополнительно в Структуре НМЦ (в составе Коммерческого предложения (форма 3) (</w:t>
            </w:r>
            <w:hyperlink w:anchor="Прил04_ФормыЗаявки" w:tgtFrame="#Прил04_ФормыЗаявки">
              <w:r>
                <w:rPr>
                  <w:rStyle w:val="Style5"/>
                  <w:rFonts w:eastAsia="Calibri"/>
                  <w:kern w:val="0"/>
                  <w:sz w:val="26"/>
                  <w:szCs w:val="22"/>
                  <w:lang w:val="ru-RU" w:eastAsia="en-US" w:bidi="ar-SA"/>
                </w:rPr>
                <w:t>Приложение № 4</w:t>
              </w:r>
            </w:hyperlink>
            <w:r>
              <w:rPr>
                <w:rFonts w:eastAsia="Calibri"/>
                <w:kern w:val="0"/>
                <w:sz w:val="26"/>
                <w:szCs w:val="22"/>
                <w:lang w:val="ru-RU" w:eastAsia="en-US" w:bidi="ar-SA"/>
              </w:rPr>
              <w:t>)).</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14" w:name="_Ref125367124"/>
            <w:bookmarkStart w:id="15" w:name="_Ref125367124"/>
            <w:bookmarkEnd w:id="15"/>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Многолотовая закупка:</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Нет.</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16" w:name="_Ref125360764"/>
            <w:bookmarkStart w:id="17" w:name="_Ref125360764"/>
            <w:bookmarkEnd w:id="17"/>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Наименование и адрес ЭП, на которой проводится закупка:</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 xml:space="preserve">Электронная площадка: Акционерное общество «Единая электронная торговая площадка» </w:t>
            </w:r>
            <w:hyperlink r:id="rId3" w:tgtFrame="https://corp.roseltorg.ru.">
              <w:r>
                <w:rPr>
                  <w:rStyle w:val="Hyperlink"/>
                  <w:rFonts w:eastAsia="Calibri"/>
                  <w:kern w:val="0"/>
                  <w:sz w:val="26"/>
                  <w:szCs w:val="22"/>
                  <w:lang w:val="ru-RU" w:eastAsia="en-US" w:bidi="ar-SA"/>
                </w:rPr>
                <w:t>https://corp.roseltorg.ru.</w:t>
              </w:r>
            </w:hyperlink>
            <w:r>
              <w:rPr>
                <w:rFonts w:eastAsia="Calibri"/>
                <w:kern w:val="0"/>
                <w:sz w:val="26"/>
                <w:szCs w:val="22"/>
                <w:lang w:val="ru-RU" w:eastAsia="en-US" w:bidi="ar-SA"/>
              </w:rPr>
              <w:t xml:space="preserve"> </w:t>
            </w:r>
          </w:p>
          <w:p>
            <w:pPr>
              <w:pStyle w:val="Normal"/>
              <w:widowControl w:val="false"/>
              <w:spacing w:lineRule="atLeast" w:line="57" w:before="119" w:after="119"/>
              <w:ind w:left="40" w:right="0" w:hanging="0"/>
              <w:rPr>
                <w:szCs w:val="24"/>
              </w:rPr>
            </w:pPr>
            <w:r>
              <w:rPr>
                <w:rFonts w:eastAsia="Calibri"/>
                <w:kern w:val="0"/>
                <w:sz w:val="26"/>
                <w:szCs w:val="22"/>
                <w:lang w:val="ru-RU" w:eastAsia="en-US" w:bidi="ar-SA"/>
              </w:rPr>
              <w:t>Регламент ЭП, в соответствии с которым проводится закупка, размещен по адресу:</w:t>
            </w:r>
            <w:r>
              <w:rPr>
                <w:rFonts w:eastAsia="Calibri"/>
                <w:kern w:val="0"/>
                <w:sz w:val="24"/>
                <w:szCs w:val="24"/>
                <w:lang w:val="ru-RU" w:eastAsia="en-US" w:bidi="ar-SA"/>
              </w:rPr>
              <w:t xml:space="preserve"> </w:t>
            </w:r>
            <w:hyperlink r:id="rId4" w:tgtFrame="http://www.roseltorg.ru/knowledge_db/docs/documents">
              <w:r>
                <w:rPr>
                  <w:rStyle w:val="Hyperlink"/>
                  <w:rFonts w:eastAsia="Times New Roman" w:cs="Times New Roman"/>
                  <w:color w:val="0563C1"/>
                  <w:kern w:val="0"/>
                  <w:sz w:val="24"/>
                  <w:szCs w:val="24"/>
                  <w:u w:val="single"/>
                </w:rPr>
                <w:t>www.roseltorg.ru/knowledge_db/docs/documents</w:t>
              </w:r>
            </w:hyperlink>
            <w:r>
              <w:rPr>
                <w:rFonts w:eastAsia="Calibri"/>
                <w:kern w:val="0"/>
                <w:sz w:val="24"/>
                <w:szCs w:val="24"/>
                <w:lang w:val="ru-RU" w:eastAsia="en-US" w:bidi="ar-SA"/>
              </w:rPr>
              <w:t xml:space="preserve"> </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18" w:name="_Ref125360970"/>
            <w:bookmarkStart w:id="19" w:name="_Ref125360970"/>
            <w:bookmarkEnd w:id="19"/>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Участники:</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Участвовать в закупке могут только субъекты МСП, а также физические лица, не являющиеся индивидуальными предпринимателями и применяющие специальный налоговый режим «Налог на профессиональный доход».</w:t>
            </w:r>
          </w:p>
          <w:p>
            <w:pPr>
              <w:pStyle w:val="Style21"/>
              <w:widowControl w:val="false"/>
              <w:spacing w:before="60" w:after="60"/>
              <w:rPr/>
            </w:pPr>
            <w:r>
              <w:rPr>
                <w:rFonts w:eastAsia="Calibri"/>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tgtFrame="#Прил02_ПроектДоговора">
              <w:r>
                <w:rPr>
                  <w:rStyle w:val="Style5"/>
                  <w:rFonts w:eastAsia="Calibri"/>
                  <w:kern w:val="0"/>
                  <w:sz w:val="26"/>
                  <w:szCs w:val="22"/>
                  <w:lang w:val="ru-RU" w:eastAsia="en-US" w:bidi="ar-SA"/>
                </w:rPr>
                <w:t>Проекта Договора (Приложение № 2)</w:t>
              </w:r>
            </w:hyperlink>
            <w:r>
              <w:rPr>
                <w:rFonts w:eastAsia="Calibri"/>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20" w:name="_Ref125360988"/>
            <w:bookmarkStart w:id="21" w:name="_Ref125360988"/>
            <w:bookmarkEnd w:id="21"/>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Заказчик:</w:t>
            </w:r>
          </w:p>
        </w:tc>
        <w:tc>
          <w:tcPr>
            <w:tcW w:w="5812" w:type="dxa"/>
            <w:tcBorders/>
          </w:tcPr>
          <w:p>
            <w:pPr>
              <w:pStyle w:val="Normal"/>
              <w:widowControl w:val="false"/>
              <w:spacing w:lineRule="atLeast" w:line="57" w:before="62" w:after="62"/>
              <w:ind w:left="0" w:right="0" w:hanging="0"/>
              <w:jc w:val="both"/>
              <w:rPr>
                <w:kern w:val="0"/>
              </w:rPr>
            </w:pPr>
            <w:r>
              <w:rPr>
                <w:rFonts w:eastAsia="Times New Roman" w:cs="Times New Roman"/>
                <w:color w:val="000000"/>
                <w:kern w:val="0"/>
                <w:sz w:val="26"/>
              </w:rPr>
              <w:t>Наименование (полное): Акционерное общество «Дальневосточная генерирующая компания»</w:t>
            </w:r>
          </w:p>
          <w:p>
            <w:pPr>
              <w:pStyle w:val="Normal"/>
              <w:widowControl w:val="false"/>
              <w:spacing w:lineRule="atLeast" w:line="57" w:before="62" w:after="62"/>
              <w:ind w:left="0" w:right="0" w:hanging="0"/>
              <w:jc w:val="both"/>
              <w:rPr>
                <w:kern w:val="0"/>
              </w:rPr>
            </w:pPr>
            <w:r>
              <w:rPr>
                <w:rFonts w:eastAsia="Times New Roman" w:cs="Times New Roman"/>
                <w:color w:val="000000"/>
                <w:kern w:val="0"/>
                <w:sz w:val="26"/>
              </w:rPr>
              <w:t>Наименование (сокращенное): АО «ДГК»</w:t>
            </w:r>
          </w:p>
          <w:p>
            <w:pPr>
              <w:pStyle w:val="Normal"/>
              <w:widowControl w:val="false"/>
              <w:spacing w:lineRule="atLeast" w:line="57" w:before="62" w:after="62"/>
              <w:ind w:left="0" w:right="0" w:hanging="0"/>
              <w:jc w:val="both"/>
              <w:rPr>
                <w:kern w:val="0"/>
              </w:rPr>
            </w:pPr>
            <w:r>
              <w:rPr>
                <w:rFonts w:eastAsia="Times New Roman" w:cs="Times New Roman"/>
                <w:color w:val="000000"/>
                <w:kern w:val="0"/>
                <w:sz w:val="26"/>
              </w:rPr>
              <w:t>Место нахождения: 680000, г. Хабаровск, ул. Фрунзе, д. 49</w:t>
            </w:r>
          </w:p>
          <w:p>
            <w:pPr>
              <w:pStyle w:val="Normal"/>
              <w:widowControl w:val="false"/>
              <w:spacing w:lineRule="atLeast" w:line="57" w:before="62" w:after="62"/>
              <w:ind w:left="0" w:right="0" w:hanging="0"/>
              <w:jc w:val="both"/>
              <w:rPr>
                <w:kern w:val="0"/>
              </w:rPr>
            </w:pPr>
            <w:r>
              <w:rPr>
                <w:rFonts w:eastAsia="Times New Roman" w:cs="Times New Roman"/>
                <w:color w:val="000000"/>
                <w:kern w:val="0"/>
                <w:sz w:val="26"/>
              </w:rPr>
              <w:t>Почтовый адрес: 680000, г. Хабаровск, ул. Фрунзе, д. 49</w:t>
            </w:r>
          </w:p>
          <w:p>
            <w:pPr>
              <w:pStyle w:val="Normal"/>
              <w:widowControl w:val="false"/>
              <w:spacing w:lineRule="atLeast" w:line="57" w:before="62" w:after="62"/>
              <w:ind w:left="0" w:right="0" w:hanging="0"/>
              <w:jc w:val="both"/>
              <w:rPr/>
            </w:pPr>
            <w:r>
              <w:rPr>
                <w:rFonts w:eastAsia="Times New Roman" w:cs="Times New Roman"/>
                <w:color w:val="000000"/>
                <w:kern w:val="0"/>
                <w:sz w:val="26"/>
              </w:rPr>
              <w:t xml:space="preserve">Адрес электронной почты: </w:t>
            </w:r>
            <w:hyperlink r:id="rId5" w:tgtFrame="mailto:dgk@dgk.ru">
              <w:r>
                <w:rPr>
                  <w:rStyle w:val="Hyperlink"/>
                  <w:rFonts w:eastAsia="Times New Roman" w:cs="Times New Roman"/>
                  <w:color w:val="0563C1"/>
                  <w:kern w:val="0"/>
                  <w:sz w:val="26"/>
                  <w:u w:val="single"/>
                </w:rPr>
                <w:t>dgk@dgk.ru</w:t>
              </w:r>
            </w:hyperlink>
          </w:p>
          <w:p>
            <w:pPr>
              <w:pStyle w:val="Normal"/>
              <w:widowControl w:val="false"/>
              <w:spacing w:lineRule="atLeast" w:line="57" w:before="119" w:after="119"/>
              <w:ind w:left="0" w:right="0" w:hanging="0"/>
              <w:jc w:val="both"/>
              <w:rPr>
                <w:kern w:val="0"/>
              </w:rPr>
            </w:pPr>
            <w:r>
              <w:rPr>
                <w:rFonts w:eastAsia="Times New Roman" w:cs="Times New Roman"/>
                <w:color w:val="000000"/>
                <w:kern w:val="0"/>
                <w:sz w:val="26"/>
              </w:rPr>
              <w:t>Контактный телефон: (4212) 26-43-63</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22" w:name="_Ref125360954"/>
            <w:bookmarkStart w:id="23" w:name="_Ref125360954"/>
            <w:bookmarkEnd w:id="23"/>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Организатор:</w:t>
            </w:r>
          </w:p>
        </w:tc>
        <w:tc>
          <w:tcPr>
            <w:tcW w:w="5812" w:type="dxa"/>
            <w:tcBorders/>
          </w:tcPr>
          <w:p>
            <w:pPr>
              <w:pStyle w:val="Normal"/>
              <w:widowControl w:val="false"/>
              <w:spacing w:lineRule="atLeast" w:line="57" w:before="62" w:after="62"/>
              <w:ind w:left="0" w:right="0" w:hanging="0"/>
              <w:jc w:val="both"/>
              <w:rPr>
                <w:kern w:val="0"/>
              </w:rPr>
            </w:pPr>
            <w:r>
              <w:rPr>
                <w:rFonts w:eastAsia="Times New Roman" w:cs="Times New Roman"/>
                <w:color w:val="000000"/>
                <w:kern w:val="0"/>
                <w:sz w:val="26"/>
              </w:rPr>
              <w:t>Наименование (полное): Акционерное общество «Дальневосточная генерирующая компания»</w:t>
            </w:r>
          </w:p>
          <w:p>
            <w:pPr>
              <w:pStyle w:val="Normal"/>
              <w:widowControl w:val="false"/>
              <w:spacing w:lineRule="atLeast" w:line="57" w:before="62" w:after="62"/>
              <w:ind w:left="0" w:right="0" w:hanging="0"/>
              <w:jc w:val="both"/>
              <w:rPr>
                <w:kern w:val="0"/>
              </w:rPr>
            </w:pPr>
            <w:r>
              <w:rPr>
                <w:rFonts w:eastAsia="Times New Roman" w:cs="Times New Roman"/>
                <w:color w:val="000000"/>
                <w:kern w:val="0"/>
                <w:sz w:val="26"/>
              </w:rPr>
              <w:t>Наименование (сокращенное): АО «ДГК»</w:t>
            </w:r>
          </w:p>
          <w:p>
            <w:pPr>
              <w:pStyle w:val="Normal"/>
              <w:widowControl w:val="false"/>
              <w:spacing w:lineRule="atLeast" w:line="57" w:before="62" w:after="62"/>
              <w:ind w:left="0" w:right="0" w:hanging="0"/>
              <w:jc w:val="both"/>
              <w:rPr>
                <w:kern w:val="0"/>
              </w:rPr>
            </w:pPr>
            <w:r>
              <w:rPr>
                <w:rFonts w:eastAsia="Times New Roman" w:cs="Times New Roman"/>
                <w:color w:val="000000"/>
                <w:kern w:val="0"/>
                <w:sz w:val="26"/>
              </w:rPr>
              <w:t>Место нахождения: 680000, г. Хабаровск, ул. Фрунзе, д. 49</w:t>
            </w:r>
          </w:p>
          <w:p>
            <w:pPr>
              <w:pStyle w:val="Normal"/>
              <w:widowControl w:val="false"/>
              <w:spacing w:lineRule="atLeast" w:line="57" w:before="62" w:after="62"/>
              <w:ind w:left="0" w:right="0" w:hanging="0"/>
              <w:jc w:val="both"/>
              <w:rPr>
                <w:kern w:val="0"/>
              </w:rPr>
            </w:pPr>
            <w:r>
              <w:rPr>
                <w:rFonts w:eastAsia="Times New Roman" w:cs="Times New Roman"/>
                <w:color w:val="000000"/>
                <w:kern w:val="0"/>
                <w:sz w:val="26"/>
              </w:rPr>
              <w:t>Почтовый адрес: 680000, г. Хабаровск, ул. Фрунзе, д. 49</w:t>
            </w:r>
          </w:p>
          <w:p>
            <w:pPr>
              <w:pStyle w:val="Normal"/>
              <w:widowControl w:val="false"/>
              <w:spacing w:lineRule="atLeast" w:line="57" w:before="62" w:after="62"/>
              <w:ind w:left="0" w:right="0" w:hanging="0"/>
              <w:jc w:val="both"/>
              <w:rPr/>
            </w:pPr>
            <w:r>
              <w:rPr>
                <w:rFonts w:eastAsia="Times New Roman" w:cs="Times New Roman"/>
                <w:color w:val="000000"/>
                <w:kern w:val="0"/>
                <w:sz w:val="26"/>
              </w:rPr>
              <w:t xml:space="preserve">Адрес электронной почты: </w:t>
            </w:r>
            <w:hyperlink r:id="rId6" w:tgtFrame="mailto:fedyasheva-ig@dgk.ru">
              <w:r>
                <w:rPr>
                  <w:rStyle w:val="Hyperlink"/>
                  <w:rFonts w:eastAsia="Times New Roman" w:cs="Times New Roman"/>
                  <w:color w:val="0563C1"/>
                  <w:kern w:val="0"/>
                  <w:sz w:val="26"/>
                  <w:u w:val="single"/>
                </w:rPr>
                <w:t>klyshko-ra@dgk.ru</w:t>
              </w:r>
            </w:hyperlink>
          </w:p>
          <w:p>
            <w:pPr>
              <w:pStyle w:val="Normal"/>
              <w:widowControl w:val="false"/>
              <w:spacing w:lineRule="atLeast" w:line="57" w:before="119" w:after="119"/>
              <w:ind w:left="0" w:right="0" w:hanging="0"/>
              <w:jc w:val="both"/>
              <w:rPr>
                <w:kern w:val="0"/>
              </w:rPr>
            </w:pPr>
            <w:r>
              <w:rPr>
                <w:rFonts w:eastAsia="Times New Roman" w:cs="Times New Roman"/>
                <w:color w:val="000000"/>
                <w:kern w:val="0"/>
                <w:sz w:val="26"/>
              </w:rPr>
              <w:t>Контактный телефон: (4212) 26-43-35</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24" w:name="_Ref125361238"/>
            <w:bookmarkStart w:id="25" w:name="_Ref125361238"/>
            <w:bookmarkEnd w:id="25"/>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Представитель Организатора:</w:t>
            </w:r>
          </w:p>
        </w:tc>
        <w:tc>
          <w:tcPr>
            <w:tcW w:w="5812" w:type="dxa"/>
            <w:tcBorders/>
          </w:tcPr>
          <w:p>
            <w:pPr>
              <w:pStyle w:val="Normal"/>
              <w:widowControl w:val="false"/>
              <w:spacing w:lineRule="atLeast" w:line="57" w:before="62" w:after="62"/>
              <w:ind w:left="0" w:right="0" w:hanging="0"/>
              <w:jc w:val="both"/>
              <w:rPr>
                <w:kern w:val="0"/>
              </w:rPr>
            </w:pPr>
            <w:r>
              <w:rPr>
                <w:rFonts w:eastAsia="Times New Roman" w:cs="Times New Roman"/>
                <w:color w:val="000000"/>
                <w:kern w:val="0"/>
                <w:sz w:val="26"/>
              </w:rPr>
              <w:t xml:space="preserve">Контактное лицо (Ф.И.О.): </w:t>
            </w:r>
          </w:p>
          <w:p>
            <w:pPr>
              <w:pStyle w:val="Normal"/>
              <w:widowControl w:val="false"/>
              <w:spacing w:lineRule="atLeast" w:line="57" w:before="62" w:after="62"/>
              <w:ind w:left="0" w:right="0" w:hanging="0"/>
              <w:jc w:val="both"/>
              <w:rPr>
                <w:kern w:val="0"/>
              </w:rPr>
            </w:pPr>
            <w:r>
              <w:rPr>
                <w:rFonts w:eastAsia="Times New Roman" w:cs="Times New Roman"/>
                <w:color w:val="000000"/>
                <w:kern w:val="0"/>
                <w:sz w:val="26"/>
              </w:rPr>
              <w:t>Клышко Руслан Анатольевич</w:t>
            </w:r>
          </w:p>
          <w:p>
            <w:pPr>
              <w:pStyle w:val="Normal"/>
              <w:widowControl w:val="false"/>
              <w:spacing w:lineRule="atLeast" w:line="57" w:before="62" w:after="62"/>
              <w:ind w:left="0" w:right="0" w:hanging="0"/>
              <w:jc w:val="both"/>
              <w:rPr/>
            </w:pPr>
            <w:r>
              <w:rPr>
                <w:rFonts w:eastAsia="Times New Roman" w:cs="Times New Roman"/>
                <w:color w:val="000000"/>
                <w:kern w:val="0"/>
                <w:sz w:val="26"/>
              </w:rPr>
              <w:t xml:space="preserve">Адрес электронной почты: </w:t>
            </w:r>
            <w:hyperlink r:id="rId7" w:tgtFrame="mailto:fedyasheva-ig@dgk.ru">
              <w:r>
                <w:rPr>
                  <w:rStyle w:val="Hyperlink"/>
                  <w:rFonts w:eastAsia="Times New Roman" w:cs="Times New Roman"/>
                  <w:color w:val="0563C1"/>
                  <w:kern w:val="0"/>
                  <w:sz w:val="26"/>
                  <w:u w:val="single"/>
                </w:rPr>
                <w:t>klyshko-ra@dgk.ru</w:t>
              </w:r>
            </w:hyperlink>
          </w:p>
          <w:p>
            <w:pPr>
              <w:pStyle w:val="Normal"/>
              <w:widowControl w:val="false"/>
              <w:spacing w:lineRule="atLeast" w:line="57" w:before="120" w:after="0"/>
              <w:ind w:left="0" w:right="0" w:hanging="0"/>
              <w:jc w:val="both"/>
              <w:rPr>
                <w:kern w:val="0"/>
              </w:rPr>
            </w:pPr>
            <w:r>
              <w:rPr>
                <w:rFonts w:eastAsia="Times New Roman" w:cs="Times New Roman"/>
                <w:color w:val="000000"/>
                <w:kern w:val="0"/>
                <w:sz w:val="26"/>
              </w:rPr>
              <w:t>Контактный телефон: +7 (4212) 26-43-35</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26" w:name="_Ref125362694"/>
            <w:bookmarkStart w:id="27" w:name="_Ref125362694"/>
            <w:bookmarkEnd w:id="27"/>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28" w:name="_Ref125360963"/>
            <w:bookmarkStart w:id="29" w:name="_Ref125360963"/>
            <w:bookmarkEnd w:id="29"/>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Дата размещения Извещения о проведении закупки:</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«03» августа 2026 г.</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30" w:name="_Ref125362837"/>
            <w:bookmarkStart w:id="31" w:name="_Ref125362837"/>
            <w:bookmarkEnd w:id="31"/>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Начальная (максимальная) цена договора (цена лота):</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НМЦ составляет 9 989 568,03 руб., без учета НДС.</w:t>
            </w:r>
          </w:p>
          <w:p>
            <w:pPr>
              <w:pStyle w:val="Style21"/>
              <w:widowControl w:val="false"/>
              <w:spacing w:before="60" w:after="60"/>
              <w:rPr/>
            </w:pPr>
            <w:r>
              <w:rPr>
                <w:rFonts w:eastAsia="Calibri"/>
                <w:kern w:val="0"/>
                <w:sz w:val="26"/>
                <w:szCs w:val="22"/>
                <w:lang w:val="ru-RU" w:eastAsia="en-US" w:bidi="ar-SA"/>
              </w:rPr>
              <w:t xml:space="preserve">Обоснование НМЦ представлено в </w:t>
            </w:r>
            <w:hyperlink w:anchor="Прил09_ОбоснованиеНМЦ" w:tgtFrame="#Прил09_ОбоснованиеНМЦ">
              <w:r>
                <w:rPr>
                  <w:rStyle w:val="Style5"/>
                  <w:rFonts w:eastAsia="Calibri"/>
                  <w:kern w:val="0"/>
                  <w:sz w:val="26"/>
                  <w:szCs w:val="22"/>
                  <w:lang w:val="ru-RU" w:eastAsia="en-US" w:bidi="ar-SA"/>
                </w:rPr>
                <w:t>Приложении № 9</w:t>
              </w:r>
            </w:hyperlink>
            <w:r>
              <w:rPr>
                <w:rFonts w:eastAsia="Calibri"/>
                <w:kern w:val="0"/>
                <w:sz w:val="26"/>
                <w:szCs w:val="22"/>
                <w:lang w:val="ru-RU" w:eastAsia="en-US" w:bidi="ar-SA"/>
              </w:rPr>
              <w:t>.</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Шаг аукциона:</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0,5% – 5,0% от НМЦ, что составляет:</w:t>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49 947,84 руб. – 499 478,40 руб., без учета НДС.</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32" w:name="_Ref125363076"/>
            <w:bookmarkStart w:id="33" w:name="_Ref125363076"/>
            <w:bookmarkEnd w:id="33"/>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Обеспечение заявки на участие в закупке:</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Размер обеспечения заявок:</w:t>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158 031 (сто пятьдесят восемь тысяч тридцать один) рубль 39 копеек, НДС не облагается.</w:t>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Допустимые формы обеспечения заявок:</w:t>
            </w:r>
          </w:p>
          <w:p>
            <w:pPr>
              <w:pStyle w:val="Style21"/>
              <w:widowControl w:val="false"/>
              <w:numPr>
                <w:ilvl w:val="0"/>
                <w:numId w:val="2"/>
              </w:numPr>
              <w:spacing w:before="60" w:after="60"/>
              <w:ind w:left="284" w:hanging="284"/>
              <w:rPr>
                <w:rFonts w:ascii="Times New Roman" w:hAnsi="Times New Roman" w:eastAsia="Calibri"/>
                <w:sz w:val="26"/>
                <w:szCs w:val="22"/>
                <w:lang w:val="ru-RU" w:eastAsia="en-US" w:bidi="ar-SA"/>
              </w:rPr>
            </w:pPr>
            <w:r>
              <w:rPr>
                <w:rFonts w:eastAsia="Calibri"/>
                <w:kern w:val="0"/>
                <w:sz w:val="26"/>
                <w:szCs w:val="22"/>
                <w:lang w:val="ru-RU" w:eastAsia="en-US" w:bidi="ar-SA"/>
              </w:rPr>
              <w:t>внесение денежных средств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w:t>
            </w:r>
          </w:p>
          <w:p>
            <w:pPr>
              <w:pStyle w:val="Style21"/>
              <w:widowControl w:val="false"/>
              <w:numPr>
                <w:ilvl w:val="0"/>
                <w:numId w:val="2"/>
              </w:numPr>
              <w:spacing w:before="60" w:after="60"/>
              <w:ind w:left="284" w:hanging="284"/>
              <w:rPr>
                <w:rFonts w:ascii="Times New Roman" w:hAnsi="Times New Roman" w:eastAsia="Calibri"/>
                <w:sz w:val="26"/>
                <w:szCs w:val="22"/>
                <w:lang w:val="ru-RU" w:eastAsia="en-US" w:bidi="ar-SA"/>
              </w:rPr>
            </w:pPr>
            <w:r>
              <w:rPr>
                <w:rFonts w:eastAsia="Calibri"/>
                <w:kern w:val="0"/>
                <w:sz w:val="26"/>
                <w:szCs w:val="22"/>
                <w:lang w:val="ru-RU" w:eastAsia="en-US" w:bidi="ar-SA"/>
              </w:rPr>
              <w:t>предоставление независимой гарантии, составленной с учетом требований подраздела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_Ref130455226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4.22</w:t>
            </w:r>
            <w:r>
              <w:rPr>
                <w:sz w:val="26"/>
                <w:kern w:val="0"/>
                <w:szCs w:val="22"/>
                <w:rFonts w:eastAsia="Calibri"/>
                <w:lang w:val="ru-RU" w:eastAsia="en-US" w:bidi="ar-SA"/>
              </w:rPr>
              <w:fldChar w:fldCharType="end"/>
            </w:r>
            <w:r>
              <w:rPr>
                <w:rFonts w:eastAsia="Calibri"/>
                <w:kern w:val="0"/>
                <w:sz w:val="26"/>
                <w:szCs w:val="22"/>
                <w:lang w:val="ru-RU" w:eastAsia="en-US" w:bidi="ar-SA"/>
              </w:rPr>
              <w:t>.</w:t>
            </w:r>
          </w:p>
          <w:p>
            <w:pPr>
              <w:pStyle w:val="Style21"/>
              <w:widowControl w:val="false"/>
              <w:spacing w:before="60" w:after="60"/>
              <w:rPr>
                <w:rStyle w:val="Style2"/>
                <w:i w:val="false"/>
                <w:i w:val="false"/>
                <w:iCs w:val="false"/>
                <w:shd w:fill="auto" w:val="clear"/>
              </w:rPr>
            </w:pPr>
            <w:r>
              <w:rPr>
                <w:rStyle w:val="Style2"/>
                <w:rFonts w:eastAsia="Calibri"/>
                <w:i w:val="false"/>
                <w:iCs w:val="false"/>
                <w:kern w:val="0"/>
                <w:sz w:val="26"/>
                <w:szCs w:val="22"/>
                <w:shd w:fill="auto" w:val="clear"/>
                <w:lang w:val="ru-RU" w:eastAsia="en-US" w:bidi="ar-SA"/>
              </w:rPr>
              <w:t>Выбор формы (способа) обеспечения заявки из числа указанных осуществляется Участником самостоятельно.</w:t>
            </w:r>
          </w:p>
          <w:p>
            <w:pPr>
              <w:pStyle w:val="Style21"/>
              <w:widowControl w:val="false"/>
              <w:spacing w:before="60" w:after="60"/>
              <w:rPr>
                <w:rStyle w:val="Style2"/>
              </w:rPr>
            </w:pPr>
            <w:r>
              <w:rPr>
                <w:rStyle w:val="Style2"/>
                <w:rFonts w:eastAsia="Calibri"/>
                <w:i w:val="false"/>
                <w:iCs w:val="false"/>
                <w:kern w:val="0"/>
                <w:sz w:val="26"/>
                <w:szCs w:val="22"/>
                <w:shd w:fill="auto" w:val="clear"/>
                <w:lang w:val="ru-RU" w:eastAsia="en-US" w:bidi="ar-SA"/>
              </w:rPr>
              <w:t>Банковские реквизиты Заказчика (для перечисления Банком-гарантом суммы обеспечения заявок в случае нарушения Участником своих обязательств, связанных с участием в закупке):</w:t>
            </w:r>
          </w:p>
          <w:p>
            <w:pPr>
              <w:pStyle w:val="Tabletext"/>
              <w:widowControl w:val="false"/>
              <w:suppressAutoHyphens w:val="true"/>
              <w:spacing w:before="0" w:after="0"/>
              <w:jc w:val="left"/>
              <w:rPr>
                <w:sz w:val="26"/>
                <w:szCs w:val="26"/>
              </w:rPr>
            </w:pPr>
            <w:r>
              <w:rPr>
                <w:kern w:val="0"/>
                <w:sz w:val="26"/>
                <w:szCs w:val="26"/>
              </w:rPr>
              <w:t>Наименование получателя: АО «Дальневосточная генерирующая компания»</w:t>
            </w:r>
          </w:p>
          <w:p>
            <w:pPr>
              <w:pStyle w:val="Tabletext"/>
              <w:widowControl w:val="false"/>
              <w:suppressAutoHyphens w:val="true"/>
              <w:spacing w:before="0" w:after="0"/>
              <w:jc w:val="left"/>
              <w:rPr>
                <w:sz w:val="26"/>
                <w:szCs w:val="26"/>
              </w:rPr>
            </w:pPr>
            <w:r>
              <w:rPr>
                <w:kern w:val="0"/>
                <w:sz w:val="26"/>
                <w:szCs w:val="26"/>
              </w:rPr>
              <w:t>ИНН 1434031363 КПП 997650001</w:t>
            </w:r>
          </w:p>
          <w:p>
            <w:pPr>
              <w:pStyle w:val="Tabletext"/>
              <w:widowControl w:val="false"/>
              <w:suppressAutoHyphens w:val="true"/>
              <w:spacing w:before="0" w:after="0"/>
              <w:jc w:val="left"/>
              <w:rPr>
                <w:sz w:val="26"/>
                <w:szCs w:val="26"/>
              </w:rPr>
            </w:pPr>
            <w:r>
              <w:rPr>
                <w:kern w:val="0"/>
                <w:sz w:val="26"/>
                <w:szCs w:val="26"/>
              </w:rPr>
              <w:t>Р/с 40702810270000008818 в Дальневосточном Банке ПАО «Сбербанк России» г. Хабаровск</w:t>
            </w:r>
          </w:p>
          <w:p>
            <w:pPr>
              <w:pStyle w:val="Tabletext"/>
              <w:widowControl w:val="false"/>
              <w:suppressAutoHyphens w:val="true"/>
              <w:spacing w:before="0" w:after="0"/>
              <w:jc w:val="left"/>
              <w:rPr>
                <w:sz w:val="26"/>
                <w:szCs w:val="26"/>
              </w:rPr>
            </w:pPr>
            <w:r>
              <w:rPr>
                <w:rFonts w:eastAsia="Calibri"/>
                <w:kern w:val="0"/>
                <w:sz w:val="26"/>
                <w:szCs w:val="26"/>
                <w:lang w:val="ru-RU" w:eastAsia="en-US" w:bidi="ar-SA"/>
              </w:rPr>
              <w:t>К/с 30101810600000000608 БИК 040813608</w:t>
            </w:r>
          </w:p>
          <w:p>
            <w:pPr>
              <w:pStyle w:val="Style21"/>
              <w:widowControl w:val="false"/>
              <w:spacing w:before="60" w:after="60"/>
              <w:rPr/>
            </w:pPr>
            <w:r>
              <w:rPr>
                <w:rStyle w:val="Style2"/>
                <w:rFonts w:eastAsia="Calibri"/>
                <w:i w:val="false"/>
                <w:iCs w:val="false"/>
                <w:kern w:val="0"/>
                <w:sz w:val="26"/>
                <w:szCs w:val="22"/>
                <w:shd w:fill="auto" w:val="clear"/>
                <w:lang w:val="ru-RU" w:eastAsia="en-US" w:bidi="ar-SA"/>
              </w:rPr>
              <w:t>Внимание! Для того, чтобы иметь возможность подать заявку на участие в закупке, в соответствии с Регламентом ЭП на счете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34" w:name="_Ref125362995"/>
            <w:bookmarkStart w:id="35" w:name="_Ref125362995"/>
            <w:bookmarkEnd w:id="35"/>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Требования</w:t>
              <w:br/>
              <w:t>к описанию продукции:</w:t>
            </w:r>
          </w:p>
        </w:tc>
        <w:tc>
          <w:tcPr>
            <w:tcW w:w="5812" w:type="dxa"/>
            <w:tcBorders/>
          </w:tcPr>
          <w:p>
            <w:pPr>
              <w:pStyle w:val="Style21"/>
              <w:widowControl w:val="false"/>
              <w:spacing w:before="60" w:after="60"/>
              <w:rPr/>
            </w:pPr>
            <w:r>
              <w:rPr>
                <w:rFonts w:eastAsia="Calibri"/>
                <w:kern w:val="0"/>
                <w:sz w:val="26"/>
                <w:szCs w:val="22"/>
                <w:lang w:val="ru-RU" w:eastAsia="en-US" w:bidi="ar-SA"/>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w:t>
            </w:r>
            <w:hyperlink w:anchor="Прил01_ТехТребования" w:tgtFrame="#Прил01_ТехТребования">
              <w:r>
                <w:rPr>
                  <w:rStyle w:val="Style5"/>
                  <w:rFonts w:eastAsia="Calibri"/>
                  <w:kern w:val="0"/>
                  <w:sz w:val="26"/>
                  <w:szCs w:val="22"/>
                  <w:lang w:val="ru-RU" w:eastAsia="en-US" w:bidi="ar-SA"/>
                </w:rPr>
                <w:t>Технических требованиях (Приложение № 1)</w:t>
              </w:r>
            </w:hyperlink>
            <w:r>
              <w:rPr>
                <w:rFonts w:eastAsia="Calibri"/>
                <w:kern w:val="0"/>
                <w:sz w:val="26"/>
                <w:szCs w:val="22"/>
                <w:lang w:val="ru-RU" w:eastAsia="en-US" w:bidi="ar-SA"/>
              </w:rPr>
              <w:t>, – по установленной форме Технического предложения (форма 4) (</w:t>
            </w:r>
            <w:hyperlink w:anchor="Прил04_ФормыЗаявки" w:tgtFrame="#Прил04_ФормыЗаявки">
              <w:r>
                <w:rPr>
                  <w:rStyle w:val="Style5"/>
                  <w:rFonts w:eastAsia="Calibri"/>
                  <w:kern w:val="0"/>
                  <w:sz w:val="26"/>
                  <w:szCs w:val="22"/>
                  <w:lang w:val="ru-RU" w:eastAsia="en-US" w:bidi="ar-SA"/>
                </w:rPr>
                <w:t>Приложение № 4</w:t>
              </w:r>
            </w:hyperlink>
            <w:r>
              <w:rPr>
                <w:rFonts w:eastAsia="Calibri"/>
                <w:kern w:val="0"/>
                <w:sz w:val="26"/>
                <w:szCs w:val="22"/>
                <w:lang w:val="ru-RU" w:eastAsia="en-US" w:bidi="ar-SA"/>
              </w:rPr>
              <w:t>).</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Применение законодательства о национальном режиме:</w:t>
            </w:r>
          </w:p>
        </w:tc>
        <w:tc>
          <w:tcPr>
            <w:tcW w:w="5812" w:type="dxa"/>
            <w:tcBorders/>
          </w:tcPr>
          <w:p>
            <w:pPr>
              <w:pStyle w:val="Style21"/>
              <w:widowControl w:val="false"/>
              <w:spacing w:before="60" w:after="60"/>
              <w:rPr>
                <w:b/>
                <w:bCs/>
                <w:kern w:val="0"/>
              </w:rPr>
            </w:pPr>
            <w:r>
              <w:rPr>
                <w:rFonts w:eastAsia="Calibri"/>
                <w:b/>
                <w:bCs/>
                <w:kern w:val="0"/>
                <w:sz w:val="26"/>
                <w:szCs w:val="22"/>
                <w:lang w:val="ru-RU" w:eastAsia="en-US" w:bidi="ar-SA"/>
              </w:rPr>
              <w:t>Национальный режим не предоставляется.</w:t>
            </w:r>
          </w:p>
          <w:p>
            <w:pPr>
              <w:pStyle w:val="Style21"/>
              <w:widowControl w:val="false"/>
              <w:spacing w:before="60" w:after="60"/>
              <w:rPr>
                <w:b/>
                <w:bCs/>
                <w:kern w:val="0"/>
              </w:rPr>
            </w:pPr>
            <w:r>
              <w:rPr>
                <w:rFonts w:eastAsia="Calibri"/>
                <w:b/>
                <w:bCs/>
                <w:kern w:val="0"/>
                <w:sz w:val="26"/>
                <w:szCs w:val="22"/>
                <w:lang w:val="ru-RU" w:eastAsia="en-US" w:bidi="ar-SA"/>
              </w:rPr>
              <w:t>Установлен режим ограничения закупки иностранной продукции (или ее части).</w:t>
            </w:r>
          </w:p>
          <w:p>
            <w:pPr>
              <w:pStyle w:val="Style21"/>
              <w:widowControl w:val="false"/>
              <w:spacing w:before="60" w:after="60"/>
              <w:rPr/>
            </w:pPr>
            <w:r>
              <w:rPr>
                <w:rFonts w:eastAsia="Calibri"/>
                <w:kern w:val="0"/>
                <w:sz w:val="26"/>
                <w:szCs w:val="22"/>
                <w:lang w:val="ru-RU" w:eastAsia="en-US" w:bidi="ar-SA"/>
              </w:rPr>
              <w:t>Подробнее в отношении каждой позиции закупаемой продукции указано в Структуре НМЦ (в составе Коммерческого предложения (форма 3) (</w:t>
            </w:r>
            <w:hyperlink w:anchor="Прил04_ФормыЗаявки" w:tgtFrame="#Прил04_ФормыЗаявки">
              <w:r>
                <w:rPr>
                  <w:rStyle w:val="Style5"/>
                  <w:rFonts w:eastAsia="Calibri"/>
                  <w:kern w:val="0"/>
                  <w:sz w:val="26"/>
                  <w:szCs w:val="22"/>
                  <w:lang w:val="ru-RU" w:eastAsia="en-US" w:bidi="ar-SA"/>
                </w:rPr>
                <w:t>Приложение № 4</w:t>
              </w:r>
            </w:hyperlink>
            <w:r>
              <w:rPr>
                <w:rFonts w:eastAsia="Calibri"/>
                <w:kern w:val="0"/>
                <w:sz w:val="26"/>
                <w:szCs w:val="22"/>
                <w:lang w:val="ru-RU" w:eastAsia="en-US" w:bidi="ar-SA"/>
              </w:rPr>
              <w:t>)).</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36" w:name="_Ref125475086"/>
            <w:bookmarkStart w:id="37" w:name="_Ref125475086"/>
            <w:bookmarkEnd w:id="37"/>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Место и порядок</w:t>
              <w:br/>
              <w:t>подачи заявок:</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Заявки подаются посредством функционала ЭП, по адресу ЭП, указанному в пункте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_Ref125360764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1.2.5</w:t>
            </w:r>
            <w:r>
              <w:rPr>
                <w:sz w:val="26"/>
                <w:kern w:val="0"/>
                <w:szCs w:val="22"/>
                <w:rFonts w:eastAsia="Calibri"/>
                <w:lang w:val="ru-RU" w:eastAsia="en-US" w:bidi="ar-SA"/>
              </w:rPr>
              <w:fldChar w:fldCharType="end"/>
            </w:r>
            <w:r>
              <w:rPr>
                <w:rFonts w:eastAsia="Calibri"/>
                <w:kern w:val="0"/>
                <w:sz w:val="26"/>
                <w:szCs w:val="22"/>
                <w:lang w:val="ru-RU" w:eastAsia="en-US" w:bidi="ar-SA"/>
              </w:rPr>
              <w:t>.</w:t>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Заявка должна состоять из двух частей. Порядок подачи ценового предложения в рамках процедуры аукциона установлен в подразделе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_Ref149649965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4.10</w:t>
            </w:r>
            <w:r>
              <w:rPr>
                <w:sz w:val="26"/>
                <w:kern w:val="0"/>
                <w:szCs w:val="22"/>
                <w:rFonts w:eastAsia="Calibri"/>
                <w:lang w:val="ru-RU" w:eastAsia="en-US" w:bidi="ar-SA"/>
              </w:rPr>
              <w:fldChar w:fldCharType="end"/>
            </w:r>
            <w:r>
              <w:rPr>
                <w:rFonts w:eastAsia="Calibri"/>
                <w:kern w:val="0"/>
                <w:sz w:val="26"/>
                <w:szCs w:val="22"/>
                <w:lang w:val="ru-RU" w:eastAsia="en-US" w:bidi="ar-SA"/>
              </w:rPr>
              <w:t>.</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38" w:name="_Ref125360779"/>
            <w:bookmarkStart w:id="39" w:name="_Ref125360779"/>
            <w:bookmarkEnd w:id="39"/>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Дата начала; дата и время окончания срока подачи заявок:</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Дата начала подачи заявок:</w:t>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«03» августа  2026 г.</w:t>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Дата и время окончания срока подачи заявок:</w:t>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«17» августа  2026  г. в 10 ч. 00 мин.</w:t>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(по московскому времени).</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Срок предоставления Участникам разъяснений Документации о закупке:</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Дата и время окончания срока предоставления разъяснений:</w:t>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«17» августа 2026 г. в 10 ч. 00 мин.</w:t>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(по московскому времени).</w:t>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_Ref125360779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1.2.18</w:t>
            </w:r>
            <w:r>
              <w:rPr>
                <w:sz w:val="26"/>
                <w:kern w:val="0"/>
                <w:szCs w:val="22"/>
                <w:rFonts w:eastAsia="Calibri"/>
                <w:lang w:val="ru-RU" w:eastAsia="en-US" w:bidi="ar-SA"/>
              </w:rPr>
              <w:fldChar w:fldCharType="end"/>
            </w:r>
            <w:r>
              <w:rPr>
                <w:rFonts w:eastAsia="Calibri"/>
                <w:kern w:val="0"/>
                <w:sz w:val="26"/>
                <w:szCs w:val="22"/>
                <w:lang w:val="ru-RU" w:eastAsia="en-US" w:bidi="ar-SA"/>
              </w:rPr>
              <w:t>.</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40" w:name="_Ref125476197"/>
            <w:bookmarkStart w:id="41" w:name="_Ref125476197"/>
            <w:bookmarkEnd w:id="41"/>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Место открытия</w:t>
              <w:br/>
              <w:t>доступа к заявкам:</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_Ref125360764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1.2.5</w:t>
            </w:r>
            <w:r>
              <w:rPr>
                <w:sz w:val="26"/>
                <w:kern w:val="0"/>
                <w:szCs w:val="22"/>
                <w:rFonts w:eastAsia="Calibri"/>
                <w:lang w:val="ru-RU" w:eastAsia="en-US" w:bidi="ar-SA"/>
              </w:rPr>
              <w:fldChar w:fldCharType="end"/>
            </w:r>
            <w:r>
              <w:rPr>
                <w:rFonts w:eastAsia="Calibri"/>
                <w:kern w:val="0"/>
                <w:sz w:val="26"/>
                <w:szCs w:val="22"/>
                <w:lang w:val="ru-RU" w:eastAsia="en-US" w:bidi="ar-SA"/>
              </w:rPr>
              <w:t>.</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42" w:name="_Ref125362733"/>
            <w:bookmarkStart w:id="43" w:name="_Ref125362733"/>
            <w:bookmarkEnd w:id="43"/>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Дата окончания рассмотрения первых частей заявок:</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«28» августа 2026 г.</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Дата и время</w:t>
              <w:br/>
              <w:t>проведения аукциона:</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 xml:space="preserve">«01» сентября 2026 г. в 10 ч. 00 мин. </w:t>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(по московскому времени).</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Срок направления Оператором ЭП вторых частей заявок в адрес Организатора</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Не позднее 1 (одного) рабочего дня, следующего за днем окончания процедуры аукциона (подачи Участниками ценовых предложений).</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44" w:name="_Ref132898515"/>
            <w:bookmarkStart w:id="45" w:name="_Ref132898515"/>
            <w:bookmarkEnd w:id="45"/>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Дата окончания рассмотрения вторых частей заявок:</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«15» сентября  2026 г.</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46" w:name="_Ref125362757"/>
            <w:bookmarkStart w:id="47" w:name="_Ref125362757"/>
            <w:bookmarkEnd w:id="47"/>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Дата подведения</w:t>
              <w:br/>
              <w:t>итогов закупки:</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«23» сентября 2026 г.</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48" w:name="_Ref125366047"/>
            <w:bookmarkStart w:id="49" w:name="_Ref125366047"/>
            <w:bookmarkEnd w:id="49"/>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Преференция продукции, изготовленной с использованием российского алюминия и (или) алюминиевых полуфабрикатов:</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Не предоставляется.</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50" w:name="_Ref125361769"/>
            <w:bookmarkStart w:id="51" w:name="_Ref125361769"/>
            <w:bookmarkEnd w:id="51"/>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812" w:type="dxa"/>
            <w:tcBorders/>
          </w:tcPr>
          <w:p>
            <w:pPr>
              <w:pStyle w:val="Style24"/>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Не предусмотрено.</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Порядок подведения итогов закупки:</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который предложил наиболее низкую стоимость заявки (цену Договора), а если при проведении аукциона цена была снижена до нуля и далее аукцион проводился на повышение цен – наиболее высокую стоимость заявки (цену Договора).</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52" w:name="_Ref125366606"/>
            <w:bookmarkStart w:id="53" w:name="_Ref125366606"/>
            <w:bookmarkEnd w:id="53"/>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Количество победителей закупки (в рамках одного лота):</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Один победитель.</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54" w:name="_Ref125366813"/>
            <w:bookmarkStart w:id="55" w:name="_Ref125366813"/>
            <w:bookmarkEnd w:id="55"/>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Место подачи документов в отношении цепочки собственников, включая конечных бенефициаров:</w:t>
            </w:r>
          </w:p>
        </w:tc>
        <w:tc>
          <w:tcPr>
            <w:tcW w:w="5812" w:type="dxa"/>
            <w:tcBorders/>
          </w:tcPr>
          <w:p>
            <w:pPr>
              <w:pStyle w:val="Tableheader"/>
              <w:widowControl w:val="false"/>
              <w:suppressAutoHyphens w:val="true"/>
              <w:spacing w:beforeAutospacing="0" w:before="0" w:afterAutospacing="0" w:after="0"/>
              <w:rPr>
                <w:b w:val="false"/>
                <w:bCs w:val="false"/>
                <w:kern w:val="0"/>
                <w:u w:val="single"/>
              </w:rPr>
            </w:pPr>
            <w:r>
              <w:rPr>
                <w:b w:val="false"/>
                <w:bCs w:val="false"/>
                <w:kern w:val="0"/>
                <w:sz w:val="26"/>
                <w:szCs w:val="26"/>
                <w:u w:val="single"/>
              </w:rPr>
              <w:t>Для подачи документов в бумажной форме:</w:t>
            </w:r>
          </w:p>
          <w:p>
            <w:pPr>
              <w:pStyle w:val="Tableheader"/>
              <w:widowControl w:val="false"/>
              <w:suppressAutoHyphens w:val="true"/>
              <w:spacing w:beforeAutospacing="0" w:before="0" w:afterAutospacing="0" w:after="0"/>
              <w:rPr>
                <w:b w:val="false"/>
                <w:bCs w:val="false"/>
                <w:kern w:val="0"/>
              </w:rPr>
            </w:pPr>
            <w:r>
              <w:rPr>
                <w:b w:val="false"/>
                <w:bCs w:val="false"/>
                <w:kern w:val="0"/>
                <w:sz w:val="26"/>
                <w:szCs w:val="26"/>
              </w:rPr>
              <w:t>Контактное лицо для приема документов:</w:t>
            </w:r>
          </w:p>
          <w:p>
            <w:pPr>
              <w:pStyle w:val="Style21"/>
              <w:widowControl w:val="false"/>
              <w:spacing w:lineRule="auto" w:line="240" w:beforeAutospacing="0" w:before="0" w:afterAutospacing="0" w:after="0"/>
              <w:rPr>
                <w:b w:val="false"/>
                <w:bCs w:val="false"/>
                <w:kern w:val="0"/>
                <w:lang w:val="ru-RU" w:eastAsia="en-US" w:bidi="ar-SA"/>
              </w:rPr>
            </w:pPr>
            <w:r>
              <w:rPr>
                <w:rFonts w:eastAsia="Times New Roman" w:cs="Times New Roman"/>
                <w:b w:val="false"/>
                <w:bCs w:val="false"/>
                <w:color w:val="000000" w:themeColor="text1"/>
                <w:kern w:val="0"/>
                <w:sz w:val="26"/>
                <w:szCs w:val="26"/>
                <w:lang w:val="ru-RU" w:eastAsia="en-US" w:bidi="ar-SA"/>
              </w:rPr>
              <w:t>Килина Наталья Сергеевна</w:t>
            </w:r>
          </w:p>
          <w:p>
            <w:pPr>
              <w:pStyle w:val="Tableheader"/>
              <w:widowControl w:val="false"/>
              <w:suppressAutoHyphens w:val="true"/>
              <w:spacing w:before="120" w:after="120"/>
              <w:rPr>
                <w:b w:val="false"/>
                <w:bCs w:val="false"/>
                <w:kern w:val="0"/>
              </w:rPr>
            </w:pPr>
            <w:r>
              <w:rPr>
                <w:rFonts w:eastAsia="Calibri"/>
                <w:b w:val="false"/>
                <w:bCs w:val="false"/>
                <w:kern w:val="0"/>
                <w:sz w:val="26"/>
                <w:szCs w:val="26"/>
                <w:lang w:val="ru-RU" w:eastAsia="en-US" w:bidi="ar-SA"/>
              </w:rPr>
              <w:t>Почтовый адрес: 680000 г. Хабаровск, ул. Фрунзе, 49</w:t>
            </w:r>
          </w:p>
          <w:p>
            <w:pPr>
              <w:pStyle w:val="Style21"/>
              <w:widowControl w:val="false"/>
              <w:spacing w:before="60" w:after="60"/>
              <w:rPr>
                <w:kern w:val="0"/>
                <w:u w:val="single"/>
              </w:rPr>
            </w:pPr>
            <w:r>
              <w:rPr>
                <w:rFonts w:eastAsia="Calibri"/>
                <w:kern w:val="0"/>
                <w:sz w:val="26"/>
                <w:szCs w:val="22"/>
                <w:u w:val="single"/>
                <w:lang w:val="ru-RU" w:eastAsia="en-US" w:bidi="ar-SA"/>
              </w:rPr>
              <w:t>Для подачи документов в электронной форме:</w:t>
            </w:r>
          </w:p>
          <w:p>
            <w:pPr>
              <w:pStyle w:val="Style21"/>
              <w:widowControl w:val="false"/>
              <w:spacing w:before="60" w:after="60"/>
              <w:rPr>
                <w:rFonts w:ascii="Times New Roman" w:hAnsi="Times New Roman" w:eastAsia="Calibri"/>
                <w:sz w:val="26"/>
                <w:szCs w:val="22"/>
                <w:lang w:eastAsia="en-US" w:bidi="ar-SA"/>
              </w:rPr>
            </w:pPr>
            <w:r>
              <w:rPr>
                <w:rFonts w:eastAsia="Calibri"/>
                <w:kern w:val="0"/>
                <w:sz w:val="26"/>
                <w:szCs w:val="22"/>
                <w:lang w:val="ru-RU" w:eastAsia="en-US" w:bidi="ar-SA"/>
              </w:rPr>
              <w:t>Корпоративный сайт ПАО</w:t>
            </w:r>
            <w:r>
              <w:rPr>
                <w:rFonts w:eastAsia="Calibri"/>
                <w:kern w:val="0"/>
                <w:sz w:val="26"/>
                <w:szCs w:val="22"/>
                <w:lang w:val="en-US" w:eastAsia="en-US" w:bidi="ar-SA"/>
              </w:rPr>
              <w:t> </w:t>
            </w:r>
            <w:r>
              <w:rPr>
                <w:rFonts w:eastAsia="Calibri"/>
                <w:kern w:val="0"/>
                <w:sz w:val="26"/>
                <w:szCs w:val="22"/>
                <w:lang w:val="ru-RU" w:eastAsia="en-US" w:bidi="ar-SA"/>
              </w:rPr>
              <w:t>«РусГидро», через специально созданную учетную запись (подробный порядок содержится в разделе</w:t>
            </w:r>
            <w:r>
              <w:rPr>
                <w:rFonts w:eastAsia="Calibri"/>
                <w:kern w:val="0"/>
                <w:sz w:val="26"/>
                <w:szCs w:val="22"/>
                <w:lang w:val="en-US" w:eastAsia="en-US" w:bidi="ar-SA"/>
              </w:rPr>
              <w:t> </w:t>
            </w:r>
            <w:r>
              <w:rPr>
                <w:rFonts w:eastAsia="Calibri"/>
                <w:kern w:val="0"/>
                <w:sz w:val="26"/>
                <w:szCs w:val="22"/>
                <w:lang w:val="en-US" w:eastAsia="en-US" w:bidi="ar-SA"/>
              </w:rPr>
              <w:fldChar w:fldCharType="begin"/>
            </w:r>
            <w:r>
              <w:rPr>
                <w:sz w:val="26"/>
                <w:kern w:val="0"/>
                <w:szCs w:val="22"/>
                <w:rFonts w:eastAsia="Calibri"/>
                <w:lang w:val="en-US" w:eastAsia="en-US" w:bidi="ar-SA"/>
              </w:rPr>
              <w:instrText xml:space="preserve"> REF _Ref126142429 \r \h </w:instrText>
            </w:r>
            <w:r>
              <w:rPr>
                <w:sz w:val="26"/>
                <w:kern w:val="0"/>
                <w:szCs w:val="22"/>
                <w:rFonts w:eastAsia="Calibri"/>
                <w:lang w:val="en-US" w:eastAsia="en-US" w:bidi="ar-SA"/>
              </w:rPr>
              <w:fldChar w:fldCharType="separate"/>
            </w:r>
            <w:r>
              <w:rPr>
                <w:sz w:val="26"/>
                <w:kern w:val="0"/>
                <w:szCs w:val="22"/>
                <w:rFonts w:eastAsia="Calibri"/>
                <w:lang w:val="en-US" w:eastAsia="en-US" w:bidi="ar-SA"/>
              </w:rPr>
              <w:t>5</w:t>
            </w:r>
            <w:r>
              <w:rPr>
                <w:sz w:val="26"/>
                <w:kern w:val="0"/>
                <w:szCs w:val="22"/>
                <w:rFonts w:eastAsia="Calibri"/>
                <w:lang w:val="en-US" w:eastAsia="en-US" w:bidi="ar-SA"/>
              </w:rPr>
              <w:fldChar w:fldCharType="end"/>
            </w:r>
            <w:r>
              <w:rPr>
                <w:rFonts w:eastAsia="Calibri"/>
                <w:kern w:val="0"/>
                <w:sz w:val="26"/>
                <w:szCs w:val="22"/>
                <w:lang w:val="ru-RU" w:eastAsia="en-US" w:bidi="ar-SA"/>
              </w:rPr>
              <w:t xml:space="preserve">). </w:t>
            </w:r>
          </w:p>
          <w:p>
            <w:pPr>
              <w:pStyle w:val="Style21"/>
              <w:widowControl w:val="false"/>
              <w:spacing w:before="60" w:after="60"/>
              <w:rPr>
                <w:b/>
                <w:bCs/>
                <w:kern w:val="0"/>
              </w:rPr>
            </w:pPr>
            <w:r>
              <w:rPr>
                <w:rFonts w:eastAsia="Calibri"/>
                <w:b/>
                <w:bCs/>
                <w:kern w:val="0"/>
                <w:sz w:val="26"/>
                <w:szCs w:val="22"/>
                <w:lang w:val="ru-RU" w:eastAsia="en-US" w:bidi="ar-SA"/>
              </w:rPr>
              <w:t>Со дня ввода системы в эксплуатацию</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bookmarkStart w:id="56" w:name="_Ref125368490"/>
            <w:bookmarkStart w:id="57" w:name="_Ref125368490"/>
            <w:bookmarkEnd w:id="57"/>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Некритичные пункты Проекта договора:</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Отсутствуют.</w:t>
            </w:r>
          </w:p>
          <w:p>
            <w:pPr>
              <w:pStyle w:val="Style21"/>
              <w:widowControl w:val="false"/>
              <w:spacing w:before="60" w:after="60"/>
              <w:rPr/>
            </w:pPr>
            <w:r>
              <w:rPr>
                <w:rFonts w:eastAsia="Calibri"/>
                <w:kern w:val="0"/>
                <w:sz w:val="26"/>
                <w:szCs w:val="22"/>
                <w:lang w:val="ru-RU" w:eastAsia="en-US" w:bidi="ar-SA"/>
              </w:rPr>
              <w:t xml:space="preserve">Внимание! Корректировка пунктов Проекта договора, не указанных в настоящем разделе, не допускается. Договор заключается в редакции </w:t>
            </w:r>
            <w:hyperlink w:anchor="Прил02_ПроектДоговора" w:tgtFrame="#Прил02_ПроектДоговора">
              <w:r>
                <w:rPr>
                  <w:rStyle w:val="Style5"/>
                  <w:rFonts w:eastAsia="Calibri"/>
                  <w:kern w:val="0"/>
                  <w:sz w:val="26"/>
                  <w:szCs w:val="22"/>
                  <w:lang w:val="ru-RU" w:eastAsia="en-US" w:bidi="ar-SA"/>
                </w:rPr>
                <w:t>Приложения № 2</w:t>
              </w:r>
            </w:hyperlink>
            <w:r>
              <w:rPr>
                <w:rFonts w:eastAsia="Calibri"/>
                <w:kern w:val="0"/>
                <w:sz w:val="26"/>
                <w:szCs w:val="22"/>
                <w:lang w:val="ru-RU" w:eastAsia="en-US" w:bidi="ar-SA"/>
              </w:rPr>
              <w:t>.</w:t>
            </w:r>
          </w:p>
        </w:tc>
      </w:tr>
      <w:tr>
        <w:trPr/>
        <w:tc>
          <w:tcPr>
            <w:tcW w:w="1126" w:type="dxa"/>
            <w:tcBorders/>
          </w:tcPr>
          <w:p>
            <w:pPr>
              <w:pStyle w:val="Style17"/>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tc>
        <w:tc>
          <w:tcPr>
            <w:tcW w:w="2974" w:type="dxa"/>
            <w:tcBorders/>
          </w:tcPr>
          <w:p>
            <w:pPr>
              <w:pStyle w:val="Style21"/>
              <w:widowControl w:val="false"/>
              <w:spacing w:before="60" w:after="60"/>
              <w:jc w:val="left"/>
              <w:rPr>
                <w:rFonts w:ascii="Times New Roman" w:hAnsi="Times New Roman" w:eastAsia="Calibri"/>
                <w:sz w:val="26"/>
                <w:szCs w:val="22"/>
                <w:lang w:val="ru-RU" w:eastAsia="en-US" w:bidi="ar-SA"/>
              </w:rPr>
            </w:pPr>
            <w:r>
              <w:rPr>
                <w:rFonts w:eastAsia="Calibri"/>
                <w:kern w:val="0"/>
                <w:sz w:val="26"/>
                <w:szCs w:val="22"/>
                <w:lang w:val="ru-RU" w:eastAsia="en-US" w:bidi="ar-SA"/>
              </w:rPr>
              <w:t>Обеспечение</w:t>
              <w:br/>
              <w:t>исполнения Договора:</w:t>
            </w:r>
          </w:p>
        </w:tc>
        <w:tc>
          <w:tcPr>
            <w:tcW w:w="5812"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Не требуется.</w:t>
            </w:r>
          </w:p>
          <w:p>
            <w:pPr>
              <w:pStyle w:val="Style21"/>
              <w:widowControl w:val="false"/>
              <w:spacing w:before="60" w:after="60"/>
              <w:rPr/>
            </w:pPr>
            <w:r>
              <w:rPr>
                <w:rFonts w:eastAsia="Calibri"/>
                <w:kern w:val="0"/>
                <w:sz w:val="26"/>
                <w:szCs w:val="22"/>
                <w:lang w:val="ru-RU" w:eastAsia="en-US" w:bidi="ar-SA"/>
              </w:rPr>
              <w:t xml:space="preserve">Иные требования к обеспечению исполнения Договора приведены в </w:t>
            </w:r>
            <w:hyperlink w:anchor="Прил02_ПроектДоговора" w:tgtFrame="#Прил02_ПроектДоговора">
              <w:r>
                <w:rPr>
                  <w:rStyle w:val="Style5"/>
                  <w:rFonts w:eastAsia="Calibri"/>
                  <w:kern w:val="0"/>
                  <w:sz w:val="26"/>
                  <w:szCs w:val="22"/>
                  <w:lang w:val="ru-RU" w:eastAsia="en-US" w:bidi="ar-SA"/>
                </w:rPr>
                <w:t>Приложении № 2</w:t>
              </w:r>
            </w:hyperlink>
            <w:r>
              <w:rPr>
                <w:rFonts w:eastAsia="Calibri"/>
                <w:kern w:val="0"/>
                <w:sz w:val="26"/>
                <w:szCs w:val="22"/>
                <w:lang w:val="ru-RU" w:eastAsia="en-US" w:bidi="ar-SA"/>
              </w:rPr>
              <w:t>.</w:t>
            </w:r>
          </w:p>
        </w:tc>
      </w:tr>
    </w:tbl>
    <w:p>
      <w:pPr>
        <w:pStyle w:val="Style15"/>
        <w:rPr/>
      </w:pPr>
      <w:bookmarkStart w:id="58" w:name="_Ref125360073"/>
      <w:bookmarkStart w:id="59" w:name="_Ref125360337"/>
      <w:bookmarkStart w:id="60" w:name="_Toc228877199"/>
      <w:r>
        <w:rPr/>
        <w:t>Общие положения</w:t>
      </w:r>
      <w:bookmarkEnd w:id="58"/>
      <w:bookmarkEnd w:id="59"/>
      <w:bookmarkEnd w:id="60"/>
    </w:p>
    <w:p>
      <w:pPr>
        <w:pStyle w:val="Style16"/>
        <w:rPr/>
      </w:pPr>
      <w:bookmarkStart w:id="61" w:name="_Toc228877200"/>
      <w:r>
        <w:rPr/>
        <w:t>Общие сведения о закупке</w:t>
      </w:r>
      <w:bookmarkEnd w:id="61"/>
    </w:p>
    <w:p>
      <w:pPr>
        <w:pStyle w:val="Style17"/>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17"/>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17"/>
        <w:rPr/>
      </w:pPr>
      <w:r>
        <w:rPr/>
        <w:t xml:space="preserve">Требования к поставляемой продукции, включая срок, объем и место поставки продукции, изложены в </w:t>
      </w:r>
      <w:hyperlink w:anchor="Прил01_ТехТребования" w:tgtFrame="#Прил01_ТехТребования">
        <w:r>
          <w:rPr>
            <w:rStyle w:val="Style5"/>
          </w:rPr>
          <w:t>Технических требованиях (Приложение № 1)</w:t>
        </w:r>
      </w:hyperlink>
      <w:r>
        <w:rPr/>
        <w:t xml:space="preserve">. </w:t>
      </w:r>
      <w:hyperlink w:anchor="Прил02_ПроектДоговора" w:tgtFrame="#Прил02_ПроектДоговора">
        <w:r>
          <w:rPr>
            <w:rStyle w:val="Style5"/>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tgtFrame="#Прил02_ПроектДоговора">
        <w:r>
          <w:rPr>
            <w:rStyle w:val="Style5"/>
          </w:rPr>
          <w:t>Приложении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Структуре НМЦ (в составе Коммерческого предложения (форма 3) (</w:t>
      </w:r>
      <w:hyperlink w:anchor="Прил04_ФормыЗаявки" w:tgtFrame="#Прил04_ФормыЗаявки">
        <w:r>
          <w:rPr>
            <w:rStyle w:val="Style5"/>
          </w:rPr>
          <w:t>Приложение № 4</w:t>
        </w:r>
      </w:hyperlink>
      <w:r>
        <w:rPr/>
        <w:t>)).</w:t>
      </w:r>
    </w:p>
    <w:p>
      <w:pPr>
        <w:pStyle w:val="Style17"/>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tgtFrame="#Прил04_ФормыЗаявки">
        <w:r>
          <w:rPr>
            <w:rStyle w:val="Style5"/>
          </w:rPr>
          <w:t>№ 4</w:t>
        </w:r>
      </w:hyperlink>
      <w:r>
        <w:rPr/>
        <w:t xml:space="preserve">, </w:t>
      </w:r>
      <w:hyperlink w:anchor="Прил05_ФормыПобедителя" w:tgtFrame="#Прил05_ФормыПобедителя">
        <w:r>
          <w:rPr>
            <w:rStyle w:val="Style5"/>
          </w:rPr>
          <w:t>№ 5</w:t>
        </w:r>
      </w:hyperlink>
      <w:r>
        <w:rPr/>
        <w:t>.</w:t>
      </w:r>
    </w:p>
    <w:p>
      <w:pPr>
        <w:pStyle w:val="Style16"/>
        <w:rPr/>
      </w:pPr>
      <w:bookmarkStart w:id="62" w:name="_Toc228877201"/>
      <w:r>
        <w:rPr/>
        <w:t>Правовой статус документов</w:t>
      </w:r>
      <w:bookmarkEnd w:id="62"/>
    </w:p>
    <w:p>
      <w:pPr>
        <w:pStyle w:val="Style17"/>
        <w:rPr/>
      </w:pPr>
      <w:r>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17"/>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17"/>
        <w:keepNext w:val="true"/>
        <w:rPr/>
      </w:pPr>
      <w:bookmarkStart w:id="63"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5.2.9</w:t>
      </w:r>
      <w:r>
        <w:rPr/>
        <w:fldChar w:fldCharType="end"/>
      </w:r>
      <w:bookmarkEnd w:id="63"/>
      <w:r>
        <w:rPr/>
        <w:t>.</w:t>
      </w:r>
    </w:p>
    <w:p>
      <w:pPr>
        <w:pStyle w:val="Style17"/>
        <w:rPr/>
      </w:pPr>
      <w:r>
        <w:rPr/>
        <w:t>Заключенный по результатам закупки Договор, в том числе, фиксирует все достигнутые сторонами договоренности.</w:t>
      </w:r>
    </w:p>
    <w:p>
      <w:pPr>
        <w:pStyle w:val="Style17"/>
        <w:rPr/>
      </w:pPr>
      <w:r>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17"/>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17"/>
        <w:rPr/>
      </w:pPr>
      <w:r>
        <w:rPr/>
        <w:t>Иные документы Организатора и Участников не определяют права и обязанности сторон в связи с данной закупкой.</w:t>
      </w:r>
    </w:p>
    <w:p>
      <w:pPr>
        <w:pStyle w:val="Style17"/>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16"/>
        <w:rPr/>
      </w:pPr>
      <w:bookmarkStart w:id="64" w:name="_Ref125363536"/>
      <w:bookmarkStart w:id="65" w:name="_Toc228877202"/>
      <w:r>
        <w:rPr/>
        <w:t>Обжалование</w:t>
      </w:r>
      <w:bookmarkEnd w:id="64"/>
      <w:bookmarkEnd w:id="65"/>
    </w:p>
    <w:p>
      <w:pPr>
        <w:pStyle w:val="Style17"/>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17"/>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17"/>
        <w:keepNext w:val="true"/>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18"/>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18"/>
        <w:rPr/>
      </w:pPr>
      <w:r>
        <w:rPr/>
        <w:t>признать заявление Участника необоснованным.</w:t>
      </w:r>
    </w:p>
    <w:p>
      <w:pPr>
        <w:pStyle w:val="Style17"/>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17"/>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18"/>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18"/>
        <w:rPr/>
      </w:pPr>
      <w:r>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w:t>
      </w:r>
      <w:bookmarkStart w:id="66" w:name="_Hlk219296876"/>
      <w:r>
        <w:rPr/>
        <w:t>Красноярского края</w:t>
      </w:r>
      <w:bookmarkEnd w:id="66"/>
      <w:r>
        <w:rPr/>
        <w:t>.</w:t>
      </w:r>
    </w:p>
    <w:p>
      <w:pPr>
        <w:pStyle w:val="Style21"/>
        <w:ind w:left="1134" w:hanging="0"/>
        <w:rPr/>
      </w:pPr>
      <w:r>
        <w:rPr/>
        <w:t>Закупочная комиссия определяется в соответствии с Положением о закупке.</w:t>
      </w:r>
    </w:p>
    <w:p>
      <w:pPr>
        <w:pStyle w:val="Style16"/>
        <w:rPr/>
      </w:pPr>
      <w:bookmarkStart w:id="67" w:name="_Toc228877203"/>
      <w:r>
        <w:rPr/>
        <w:t>Особые положения при проведении закупки с использованием ЭП</w:t>
      </w:r>
      <w:bookmarkEnd w:id="67"/>
    </w:p>
    <w:p>
      <w:pPr>
        <w:pStyle w:val="Style17"/>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17"/>
        <w:rPr/>
      </w:pPr>
      <w:r>
        <w:rPr/>
        <w:t>Для участия в закупке Участник должен пройти процедуру регистрации в Едином реестре участников закупок в ЕИС в порядке, предусмотренным Законом 44-ФЗ, т.е. быть зарегистрированным на ЭП. Регистрация осуществляется Федеральным Казначейством, и Организатор (Заказчик) не несет ответственности за результат ее прохождения Участником, в том числе понесенные им затраты.</w:t>
      </w:r>
    </w:p>
    <w:p>
      <w:pPr>
        <w:pStyle w:val="Style17"/>
        <w:rPr/>
      </w:pPr>
      <w:r>
        <w:rPr/>
        <w:t>Правила проведения закупки в том числе определяются Регламентом ЭП.</w:t>
      </w:r>
    </w:p>
    <w:p>
      <w:pPr>
        <w:pStyle w:val="Style17"/>
        <w:rPr/>
      </w:pPr>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p>
    <w:p>
      <w:pPr>
        <w:pStyle w:val="Style17"/>
        <w:rPr/>
      </w:pPr>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pPr>
        <w:pStyle w:val="Style16"/>
        <w:rPr/>
      </w:pPr>
      <w:bookmarkStart w:id="68" w:name="_Toc228877204"/>
      <w:r>
        <w:rPr/>
        <w:t>Прочие положения</w:t>
      </w:r>
      <w:bookmarkEnd w:id="68"/>
    </w:p>
    <w:p>
      <w:pPr>
        <w:pStyle w:val="Style17"/>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17"/>
        <w:rPr/>
      </w:pPr>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p>
    <w:p>
      <w:pPr>
        <w:pStyle w:val="Style17"/>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15"/>
        <w:rPr/>
      </w:pPr>
      <w:bookmarkStart w:id="69" w:name="_Ref125361210"/>
      <w:bookmarkStart w:id="70" w:name="_Toc228877205"/>
      <w:r>
        <w:rPr/>
        <w:t>Требования к Участникам</w:t>
      </w:r>
      <w:bookmarkEnd w:id="69"/>
      <w:bookmarkEnd w:id="70"/>
    </w:p>
    <w:p>
      <w:pPr>
        <w:pStyle w:val="Style16"/>
        <w:rPr/>
      </w:pPr>
      <w:bookmarkStart w:id="71" w:name="_Ref127524530"/>
      <w:bookmarkStart w:id="72" w:name="_Toc228877206"/>
      <w:r>
        <w:rPr/>
        <w:t>Общие требования к Участникам</w:t>
      </w:r>
      <w:bookmarkEnd w:id="71"/>
      <w:bookmarkEnd w:id="72"/>
    </w:p>
    <w:p>
      <w:pPr>
        <w:pStyle w:val="Style17"/>
        <w:rPr/>
      </w:pPr>
      <w:bookmarkStart w:id="73" w:name="_Ref12536151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w:t>
      </w:r>
      <w:bookmarkEnd w:id="73"/>
    </w:p>
    <w:p>
      <w:pPr>
        <w:pStyle w:val="Style17"/>
        <w:rPr/>
      </w:pPr>
      <w:r>
        <w:rPr/>
        <w:t>Однако, чтобы претендовать на победу в закупке Участник должен отвечать требованиям, установленным в Документации о закупке.</w:t>
      </w:r>
    </w:p>
    <w:p>
      <w:pPr>
        <w:pStyle w:val="Style17"/>
        <w:rPr/>
      </w:pPr>
      <w:r>
        <w:rPr/>
        <w:t xml:space="preserve">Требования к Участникам установлены с учетом предмета договора, </w:t>
      </w:r>
      <w:hyperlink w:anchor="Прил01_ТехТребования" w:tgtFrame="#Прил01_ТехТребования">
        <w:r>
          <w:rPr>
            <w:rStyle w:val="Style5"/>
          </w:rPr>
          <w:t>Технических требований (Приложение № 1)</w:t>
        </w:r>
      </w:hyperlink>
      <w:r>
        <w:rPr/>
        <w:t xml:space="preserve"> и </w:t>
      </w:r>
      <w:hyperlink w:anchor="Прил02_ПроектДоговора" w:tgtFrame="#Прил02_ПроектДоговора">
        <w:r>
          <w:rPr>
            <w:rStyle w:val="Style5"/>
          </w:rPr>
          <w:t>Проекта договора (Приложение № 2)</w:t>
        </w:r>
      </w:hyperlink>
      <w:r>
        <w:rPr/>
        <w:t>. 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Структуре НМЦ (в составе Коммерческого предложения (форма 3) (</w:t>
      </w:r>
      <w:hyperlink w:anchor="Прил04_ФормыЗаявки" w:tgtFrame="#Прил04_ФормыЗаявки">
        <w:r>
          <w:rPr>
            <w:rStyle w:val="Style5"/>
          </w:rPr>
          <w:t>Приложение № 4</w:t>
        </w:r>
      </w:hyperlink>
      <w:r>
        <w:rPr/>
        <w:t>)).</w:t>
      </w:r>
    </w:p>
    <w:p>
      <w:pPr>
        <w:pStyle w:val="Style17"/>
        <w:keepNext w:val="true"/>
        <w:rPr/>
      </w:pPr>
      <w:r>
        <w:rPr/>
        <w:t>Установлены следующие требования к Участникам, которые приведены в </w:t>
      </w:r>
      <w:hyperlink w:anchor="Прил03_ТребованияУчастникам" w:tgtFrame="#Прил03_ТребованияУчастникам">
        <w:r>
          <w:rPr>
            <w:rStyle w:val="Style5"/>
          </w:rPr>
          <w:t>Приложении № 3</w:t>
        </w:r>
      </w:hyperlink>
      <w:r>
        <w:rPr/>
        <w:t>:</w:t>
      </w:r>
    </w:p>
    <w:p>
      <w:pPr>
        <w:pStyle w:val="Style18"/>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18"/>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17"/>
        <w:keepNext w:val="true"/>
        <w:rPr/>
      </w:pPr>
      <w:r>
        <w:rPr/>
        <w:t>В рамках требований к Участникам могут быть установлены дополнительные требования к Генеральным подрядчикам (подраздел </w:t>
      </w:r>
      <w:r>
        <w:rPr/>
        <w:fldChar w:fldCharType="begin"/>
      </w:r>
      <w:r>
        <w:rPr/>
        <w:instrText xml:space="preserve"> REF _Ref125361702 \r \h </w:instrText>
      </w:r>
      <w:r>
        <w:rPr/>
        <w:fldChar w:fldCharType="separate"/>
      </w:r>
      <w:r>
        <w:rPr/>
        <w:t>3.2</w:t>
      </w:r>
      <w:r>
        <w:rPr/>
        <w:fldChar w:fldCharType="end"/>
      </w:r>
      <w:r>
        <w:rPr/>
        <w:t>).</w:t>
      </w:r>
    </w:p>
    <w:p>
      <w:pPr>
        <w:pStyle w:val="Style17"/>
        <w:rPr/>
      </w:pPr>
      <w:bookmarkStart w:id="74" w:name="_Ref125361969"/>
      <w:bookmarkStart w:id="75" w:name="_Ref125361976"/>
      <w:bookmarkEnd w:id="74"/>
      <w:bookmarkEnd w:id="75"/>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tgtFrame="#Прил03_ТребованияУчастникам">
        <w:r>
          <w:rPr>
            <w:rStyle w:val="Style5"/>
          </w:rPr>
          <w:t>Требованиях к Участникам (Приложение № 3)</w:t>
        </w:r>
      </w:hyperlink>
      <w:r>
        <w:rPr/>
        <w:t xml:space="preserve">, </w:t>
      </w:r>
      <w:bookmarkStart w:id="76" w:name="_Hlk132706049"/>
      <w:r>
        <w:rPr/>
        <w:t>если иное не установлено в Документации о закупке</w:t>
      </w:r>
      <w:bookmarkEnd w:id="76"/>
      <w:r>
        <w:rPr/>
        <w:t>.</w:t>
      </w:r>
    </w:p>
    <w:p>
      <w:pPr>
        <w:pStyle w:val="Style16"/>
        <w:rPr/>
      </w:pPr>
      <w:bookmarkStart w:id="77" w:name="_Ref125361702"/>
      <w:bookmarkStart w:id="78" w:name="_Toc228877207"/>
      <w:bookmarkStart w:id="79" w:name="_Toc224743197"/>
      <w:bookmarkStart w:id="80" w:name="_Toc224743198"/>
      <w:bookmarkStart w:id="81" w:name="_Toc224743199"/>
      <w:bookmarkStart w:id="82" w:name="_Toc224743200"/>
      <w:bookmarkStart w:id="83" w:name="_Toc224743201"/>
      <w:bookmarkStart w:id="84" w:name="_Toc224743202"/>
      <w:bookmarkStart w:id="85" w:name="_Toc224743203"/>
      <w:bookmarkStart w:id="86" w:name="_Toc224743204"/>
      <w:bookmarkStart w:id="87" w:name="_Toc224743205"/>
      <w:bookmarkStart w:id="88" w:name="_Toc224743206"/>
      <w:bookmarkStart w:id="89" w:name="_Toc224743207"/>
      <w:bookmarkStart w:id="90" w:name="_Toc224743208"/>
      <w:bookmarkStart w:id="91" w:name="_Toc224743209"/>
      <w:bookmarkStart w:id="92" w:name="_Toc224743210"/>
      <w:bookmarkStart w:id="93" w:name="_Toc224743211"/>
      <w:bookmarkStart w:id="94" w:name="_Toc224743212"/>
      <w:bookmarkStart w:id="95" w:name="_Toc224743213"/>
      <w:bookmarkStart w:id="96" w:name="_Toc224743214"/>
      <w:bookmarkStart w:id="97" w:name="_Toc224743215"/>
      <w:bookmarkStart w:id="98" w:name="_Toc224743216"/>
      <w:bookmarkStart w:id="99" w:name="_Ref125361969_Копия_1"/>
      <w:bookmarkStart w:id="100" w:name="_Ref125361976_Копия_1"/>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Pr/>
        <w:t>Генеральные подрядчики</w:t>
      </w:r>
      <w:bookmarkEnd w:id="77"/>
      <w:bookmarkEnd w:id="78"/>
    </w:p>
    <w:p>
      <w:pPr>
        <w:pStyle w:val="Style17"/>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рассмотрение заявок Участников с учетом привлекаемых субподрядчиков.</w:t>
      </w:r>
    </w:p>
    <w:p>
      <w:pPr>
        <w:pStyle w:val="Style17"/>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8.4</w:t>
      </w:r>
      <w:r>
        <w:rPr/>
        <w:fldChar w:fldCharType="end"/>
      </w:r>
      <w:r>
        <w:rPr/>
        <w:t xml:space="preserve"> </w:t>
      </w:r>
      <w:hyperlink w:anchor="Прил03_ТребованияУчастникам" w:tgtFrame="#Прил03_ТребованияУчастникам">
        <w:r>
          <w:rPr>
            <w:rStyle w:val="Style5"/>
          </w:rPr>
          <w:t>Требований к Участникам (Приложение № 3)</w:t>
        </w:r>
      </w:hyperlink>
      <w:r>
        <w:rPr/>
        <w:t>.</w:t>
      </w:r>
    </w:p>
    <w:p>
      <w:pPr>
        <w:pStyle w:val="Style17"/>
        <w:keepNext w:val="true"/>
        <w:rPr/>
      </w:pPr>
      <w:r>
        <w:rPr/>
        <w:t>Генеральный подрядчик:</w:t>
      </w:r>
    </w:p>
    <w:p>
      <w:pPr>
        <w:pStyle w:val="Style18"/>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18"/>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18"/>
        <w:rPr/>
      </w:pPr>
      <w:r>
        <w:rPr/>
        <w:t>в рамках остальных специальных требований (в случае их установления) должен отвечать им только в части объема поставки продукции, который ему предполагается поручить в соответствии с представленным в Техническом предложении Планом распределения объемов поставки продукции (форма 4) (</w:t>
      </w:r>
      <w:hyperlink w:anchor="Прил04_ФормыЗаявки" w:tgtFrame="#Прил04_ФормыЗаявки">
        <w:r>
          <w:rPr>
            <w:rStyle w:val="Style5"/>
          </w:rPr>
          <w:t>Приложение № 4</w:t>
        </w:r>
      </w:hyperlink>
      <w:r>
        <w:rPr/>
        <w:t>).</w:t>
      </w:r>
    </w:p>
    <w:p>
      <w:pPr>
        <w:pStyle w:val="Style17"/>
        <w:keepNext w:val="true"/>
        <w:rPr/>
      </w:pPr>
      <w:r>
        <w:rPr/>
        <w:t>Каждый субподрядчик из привлекаемых Генеральным подрядчиком должен отвечать:</w:t>
      </w:r>
    </w:p>
    <w:p>
      <w:pPr>
        <w:pStyle w:val="Style18"/>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18"/>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1"/>
        <w:ind w:left="1134" w:hanging="0"/>
        <w:rPr/>
      </w:pPr>
      <w:bookmarkStart w:id="101" w:name="_Ref125368863"/>
      <w:r>
        <w:rPr/>
        <w:t xml:space="preserve">При этом соответствовать специальным требованиям субподрядчик должен только в части объема поставки продукции, который ему </w:t>
      </w:r>
      <w:bookmarkEnd w:id="101"/>
      <w:r>
        <w:rPr/>
        <w:t>поручен в соответствии с представленным в Техническом предложении Планом распределения объемов поставки продукции (форма 4) (</w:t>
      </w:r>
      <w:hyperlink w:anchor="Прил04_ФормыЗаявки" w:tgtFrame="#Прил04_ФормыЗаявки">
        <w:r>
          <w:rPr>
            <w:rStyle w:val="Style5"/>
          </w:rPr>
          <w:t>Приложение № 4</w:t>
        </w:r>
      </w:hyperlink>
      <w:r>
        <w:rPr/>
        <w:t>).</w:t>
      </w:r>
    </w:p>
    <w:p>
      <w:pPr>
        <w:pStyle w:val="Style17"/>
        <w:rPr/>
      </w:pPr>
      <w:bookmarkStart w:id="102"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Каждый Генеральный подрядчик может подать только одну заявку и не может быть субподрядчиком у других Генеральных подрядчиков. В случае невыполнения этих требований заявки с участием таких лиц будут отклонены.</w:t>
      </w:r>
      <w:bookmarkEnd w:id="102"/>
    </w:p>
    <w:p>
      <w:pPr>
        <w:sectPr>
          <w:headerReference w:type="default" r:id="rId8"/>
          <w:footerReference w:type="default" r:id="rId9"/>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17"/>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предусмотрено рассмотрение заявок Участников с учетом привлекаемых субподрядчиков, то при рассмотрении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8.4</w:t>
      </w:r>
      <w:r>
        <w:rPr/>
        <w:fldChar w:fldCharType="end"/>
      </w:r>
      <w:r>
        <w:rPr/>
        <w:t xml:space="preserve"> </w:t>
      </w:r>
      <w:hyperlink w:anchor="Прил03_ТребованияУчастникам" w:tgtFrame="#Прил03_ТребованияУчастникам">
        <w:r>
          <w:rPr>
            <w:rStyle w:val="Style5"/>
          </w:rPr>
          <w:t>Требований к Участникам (Приложение № 3)</w:t>
        </w:r>
      </w:hyperlink>
      <w:r>
        <w:rPr/>
        <w:t>.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15"/>
        <w:rPr/>
      </w:pPr>
      <w:bookmarkStart w:id="103" w:name="_Ref125361211"/>
      <w:bookmarkStart w:id="104" w:name="_Ref125367098"/>
      <w:bookmarkStart w:id="105" w:name="_Ref125367107"/>
      <w:bookmarkStart w:id="106" w:name="_Ref125367974"/>
      <w:bookmarkStart w:id="107" w:name="_Toc228877208"/>
      <w:r>
        <w:rPr/>
        <w:t>Порядок проведения закупки</w:t>
      </w:r>
      <w:bookmarkEnd w:id="103"/>
      <w:bookmarkEnd w:id="104"/>
      <w:bookmarkEnd w:id="105"/>
      <w:bookmarkEnd w:id="106"/>
      <w:bookmarkEnd w:id="107"/>
    </w:p>
    <w:p>
      <w:pPr>
        <w:pStyle w:val="Style16"/>
        <w:rPr/>
      </w:pPr>
      <w:bookmarkStart w:id="108" w:name="_Ref126141932"/>
      <w:bookmarkStart w:id="109" w:name="_Toc228877209"/>
      <w:r>
        <w:rPr/>
        <w:t>Общий порядок проведения закупки</w:t>
      </w:r>
      <w:bookmarkEnd w:id="108"/>
      <w:bookmarkEnd w:id="109"/>
    </w:p>
    <w:p>
      <w:pPr>
        <w:pStyle w:val="Style17"/>
        <w:keepNext w:val="true"/>
        <w:spacing w:before="120" w:after="120"/>
        <w:rPr/>
      </w:pPr>
      <w:r>
        <w:rPr/>
        <w:t>Закупка проводится в следующем порядке:</w:t>
      </w:r>
    </w:p>
    <w:tbl>
      <w:tblPr>
        <w:tblStyle w:val="1482"/>
        <w:tblW w:w="14007" w:type="dxa"/>
        <w:jc w:val="left"/>
        <w:tblInd w:w="1129" w:type="dxa"/>
        <w:tblLayout w:type="fixed"/>
        <w:tblCellMar>
          <w:top w:w="0" w:type="dxa"/>
          <w:left w:w="0" w:type="dxa"/>
          <w:bottom w:w="0" w:type="dxa"/>
          <w:right w:w="5" w:type="dxa"/>
        </w:tblCellMar>
        <w:tblLook w:val="04a0" w:noHBand="0" w:noVBand="1" w:firstColumn="1" w:lastRow="0" w:lastColumn="0" w:firstRow="1"/>
      </w:tblPr>
      <w:tblGrid>
        <w:gridCol w:w="372"/>
        <w:gridCol w:w="2652"/>
        <w:gridCol w:w="2651"/>
        <w:gridCol w:w="3827"/>
        <w:gridCol w:w="2269"/>
        <w:gridCol w:w="2235"/>
      </w:tblGrid>
      <w:tr>
        <w:trPr/>
        <w:tc>
          <w:tcPr>
            <w:tcW w:w="372" w:type="dxa"/>
            <w:tcBorders>
              <w:left w:val="nil"/>
            </w:tcBorders>
            <w:vAlign w:val="bottom"/>
          </w:tcPr>
          <w:p>
            <w:pPr>
              <w:pStyle w:val="Style21"/>
              <w:keepNext w:val="true"/>
              <w:keepLines w:val="false"/>
              <w:widowControl w:val="fals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t>Ô</w:t>
            </w:r>
          </w:p>
        </w:tc>
        <w:tc>
          <w:tcPr>
            <w:tcW w:w="13634" w:type="dxa"/>
            <w:gridSpan w:val="5"/>
            <w:tcBorders>
              <w:right w:val="nil"/>
            </w:tcBorders>
          </w:tcPr>
          <w:p>
            <w:pPr>
              <w:pStyle w:val="Style21"/>
              <w:keepNext w:val="true"/>
              <w:keepLines w:val="false"/>
              <w:widowControl w:val="false"/>
              <w:spacing w:before="40" w:after="40"/>
              <w:jc w:val="center"/>
              <w:rPr>
                <w:b w:val="false"/>
                <w:bCs/>
                <w:sz w:val="24"/>
                <w:szCs w:val="24"/>
              </w:rPr>
            </w:pPr>
            <w:r>
              <w:rPr>
                <w:rFonts w:eastAsia="Calibri"/>
                <w:b/>
                <w:bCs/>
                <w:kern w:val="0"/>
                <w:sz w:val="24"/>
                <w:szCs w:val="24"/>
                <w:lang w:val="ru-RU" w:eastAsia="en-US" w:bidi="ar-SA"/>
              </w:rPr>
              <w:t>Официальное размещение Извещения и Документации о закупке (подраздел </w:t>
            </w:r>
            <w:r>
              <w:rPr>
                <w:rFonts w:eastAsia="Calibri"/>
                <w:b/>
                <w:bCs/>
                <w:kern w:val="0"/>
                <w:sz w:val="24"/>
                <w:szCs w:val="24"/>
                <w:lang w:val="ru-RU" w:eastAsia="en-US" w:bidi="ar-SA"/>
              </w:rPr>
              <w:fldChar w:fldCharType="begin"/>
            </w:r>
            <w:r>
              <w:rPr>
                <w:sz w:val="24"/>
                <w:b/>
                <w:kern w:val="0"/>
                <w:szCs w:val="24"/>
                <w:bCs/>
                <w:rFonts w:eastAsia="Calibri"/>
                <w:lang w:val="ru-RU" w:eastAsia="en-US" w:bidi="ar-SA"/>
              </w:rPr>
              <w:instrText xml:space="preserve"> REF _Ref130286532 \r \h </w:instrText>
            </w:r>
            <w:r>
              <w:rPr>
                <w:sz w:val="24"/>
                <w:b/>
                <w:kern w:val="0"/>
                <w:szCs w:val="24"/>
                <w:bCs/>
                <w:rFonts w:eastAsia="Calibri"/>
                <w:lang w:val="ru-RU" w:eastAsia="en-US" w:bidi="ar-SA"/>
              </w:rPr>
              <w:fldChar w:fldCharType="separate"/>
            </w:r>
            <w:r>
              <w:rPr>
                <w:sz w:val="24"/>
                <w:b/>
                <w:kern w:val="0"/>
                <w:szCs w:val="24"/>
                <w:bCs/>
                <w:rFonts w:eastAsia="Calibri"/>
                <w:lang w:val="ru-RU" w:eastAsia="en-US" w:bidi="ar-SA"/>
              </w:rPr>
              <w:t>4.2</w:t>
            </w:r>
            <w:r>
              <w:rPr>
                <w:sz w:val="24"/>
                <w:b/>
                <w:kern w:val="0"/>
                <w:szCs w:val="24"/>
                <w:bCs/>
                <w:rFonts w:eastAsia="Calibri"/>
                <w:lang w:val="ru-RU" w:eastAsia="en-US" w:bidi="ar-SA"/>
              </w:rPr>
              <w:fldChar w:fldCharType="end"/>
            </w:r>
            <w:r>
              <w:rPr>
                <w:rFonts w:eastAsia="Calibri"/>
                <w:b/>
                <w:bCs/>
                <w:kern w:val="0"/>
                <w:sz w:val="24"/>
                <w:szCs w:val="24"/>
                <w:lang w:val="ru-RU" w:eastAsia="en-US" w:bidi="ar-SA"/>
              </w:rPr>
              <w:t>)</w:t>
            </w:r>
          </w:p>
        </w:tc>
      </w:tr>
      <w:tr>
        <w:trPr/>
        <w:tc>
          <w:tcPr>
            <w:tcW w:w="372" w:type="dxa"/>
            <w:tcBorders>
              <w:left w:val="nil"/>
            </w:tcBorders>
            <w:vAlign w:val="bottom"/>
          </w:tcPr>
          <w:p>
            <w:pPr>
              <w:pStyle w:val="Style21"/>
              <w:widowControl w:val="false"/>
              <w:spacing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5303" w:type="dxa"/>
            <w:gridSpan w:val="2"/>
            <w:tcBorders/>
          </w:tcPr>
          <w:p>
            <w:pPr>
              <w:pStyle w:val="Style21"/>
              <w:widowControl w:val="false"/>
              <w:spacing w:before="40" w:after="40"/>
              <w:jc w:val="center"/>
              <w:rPr>
                <w:bCs/>
                <w:sz w:val="24"/>
                <w:szCs w:val="24"/>
              </w:rPr>
            </w:pPr>
            <w:r>
              <w:rPr>
                <w:rFonts w:eastAsia="Calibri"/>
                <w:bCs/>
                <w:kern w:val="0"/>
                <w:sz w:val="24"/>
                <w:szCs w:val="24"/>
                <w:lang w:val="ru-RU" w:eastAsia="en-US" w:bidi="ar-SA"/>
              </w:rPr>
              <w:t>Подготовка заявки (подраздел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_Ref130281199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4.3</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3827" w:type="dxa"/>
            <w:vMerge w:val="restart"/>
            <w:tcBorders/>
          </w:tcPr>
          <w:p>
            <w:pPr>
              <w:pStyle w:val="Style21"/>
              <w:widowControl w:val="false"/>
              <w:spacing w:before="40" w:after="40"/>
              <w:jc w:val="center"/>
              <w:rPr>
                <w:bCs/>
                <w:sz w:val="24"/>
                <w:szCs w:val="24"/>
              </w:rPr>
            </w:pPr>
            <w:r>
              <w:rPr>
                <w:rFonts w:eastAsia="Calibri"/>
                <w:bCs/>
                <w:kern w:val="0"/>
                <w:sz w:val="24"/>
                <w:szCs w:val="24"/>
                <w:lang w:val="ru-RU" w:eastAsia="en-US" w:bidi="ar-SA"/>
              </w:rPr>
              <w:t>Предоставление разъяснений положений Документации о закупке</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_Ref130394205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4.4</w:t>
            </w:r>
            <w:r>
              <w:rPr>
                <w:sz w:val="24"/>
                <w:kern w:val="0"/>
                <w:szCs w:val="24"/>
                <w:bCs/>
                <w:rFonts w:eastAsia="Calibri"/>
                <w:lang w:val="ru-RU" w:eastAsia="en-US" w:bidi="ar-SA"/>
              </w:rPr>
              <w:fldChar w:fldCharType="end"/>
            </w:r>
            <w:r>
              <w:rPr>
                <w:rFonts w:eastAsia="Calibri"/>
                <w:bCs/>
                <w:kern w:val="0"/>
                <w:sz w:val="24"/>
                <w:szCs w:val="24"/>
                <w:lang w:val="ru-RU" w:eastAsia="en-US" w:bidi="ar-SA"/>
              </w:rPr>
              <w:t>)</w:t>
              <w:br/>
            </w:r>
            <w:r>
              <w:rPr>
                <w:rFonts w:eastAsia="Calibri"/>
                <w:bCs/>
                <w:i/>
                <w:iCs/>
                <w:kern w:val="0"/>
                <w:sz w:val="24"/>
                <w:szCs w:val="24"/>
                <w:lang w:val="ru-RU" w:eastAsia="en-US" w:bidi="ar-SA"/>
              </w:rPr>
              <w:t>(опциональная процедура закупки)</w:t>
            </w:r>
          </w:p>
        </w:tc>
        <w:tc>
          <w:tcPr>
            <w:tcW w:w="2269" w:type="dxa"/>
            <w:vMerge w:val="restart"/>
            <w:tcBorders/>
          </w:tcPr>
          <w:p>
            <w:pPr>
              <w:pStyle w:val="Style21"/>
              <w:widowControl w:val="false"/>
              <w:spacing w:before="40" w:after="40"/>
              <w:jc w:val="center"/>
              <w:rPr>
                <w:bCs/>
                <w:sz w:val="24"/>
                <w:szCs w:val="24"/>
              </w:rPr>
            </w:pPr>
            <w:r>
              <w:rPr>
                <w:rFonts w:eastAsia="Calibri"/>
                <w:bCs/>
                <w:kern w:val="0"/>
                <w:sz w:val="24"/>
                <w:szCs w:val="24"/>
                <w:lang w:val="ru-RU" w:eastAsia="en-US" w:bidi="ar-SA"/>
              </w:rPr>
              <w:t>Внесение изменений в Извещение и (или) Документацию о закупке</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_Ref125362076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4.5</w:t>
            </w:r>
            <w:r>
              <w:rPr>
                <w:sz w:val="24"/>
                <w:kern w:val="0"/>
                <w:szCs w:val="24"/>
                <w:bCs/>
                <w:rFonts w:eastAsia="Calibri"/>
                <w:lang w:val="ru-RU" w:eastAsia="en-US" w:bidi="ar-SA"/>
              </w:rPr>
              <w:fldChar w:fldCharType="end"/>
            </w:r>
            <w:r>
              <w:rPr>
                <w:rFonts w:eastAsia="Calibri"/>
                <w:bCs/>
                <w:kern w:val="0"/>
                <w:sz w:val="24"/>
                <w:szCs w:val="24"/>
                <w:lang w:val="ru-RU" w:eastAsia="en-US" w:bidi="ar-SA"/>
              </w:rPr>
              <w:t>)</w:t>
              <w:br/>
            </w:r>
            <w:r>
              <w:rPr>
                <w:rFonts w:eastAsia="Calibri"/>
                <w:bCs/>
                <w:i/>
                <w:iCs/>
                <w:kern w:val="0"/>
                <w:sz w:val="24"/>
                <w:szCs w:val="24"/>
                <w:lang w:val="ru-RU" w:eastAsia="en-US" w:bidi="ar-SA"/>
              </w:rPr>
              <w:t>(опциональная процедура закупки)</w:t>
            </w:r>
          </w:p>
        </w:tc>
        <w:tc>
          <w:tcPr>
            <w:tcW w:w="2235" w:type="dxa"/>
            <w:vMerge w:val="restart"/>
            <w:tcBorders>
              <w:right w:val="nil"/>
            </w:tcBorders>
          </w:tcPr>
          <w:p>
            <w:pPr>
              <w:pStyle w:val="Style21"/>
              <w:widowControl w:val="false"/>
              <w:spacing w:before="40" w:after="40"/>
              <w:jc w:val="center"/>
              <w:rPr>
                <w:bCs/>
                <w:sz w:val="24"/>
                <w:szCs w:val="24"/>
              </w:rPr>
            </w:pPr>
            <w:r>
              <w:rPr>
                <w:rFonts w:eastAsia="Calibri"/>
                <w:bCs/>
                <w:kern w:val="0"/>
                <w:sz w:val="24"/>
                <w:szCs w:val="24"/>
                <w:lang w:val="ru-RU" w:eastAsia="en-US" w:bidi="ar-SA"/>
              </w:rPr>
              <w:t>Отказ от проведения закупки (отмена закупки)</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_Ref132816134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4.21</w:t>
            </w:r>
            <w:r>
              <w:rPr>
                <w:sz w:val="24"/>
                <w:kern w:val="0"/>
                <w:szCs w:val="24"/>
                <w:bCs/>
                <w:rFonts w:eastAsia="Calibri"/>
                <w:lang w:val="ru-RU" w:eastAsia="en-US" w:bidi="ar-SA"/>
              </w:rPr>
              <w:fldChar w:fldCharType="end"/>
            </w:r>
            <w:r>
              <w:rPr>
                <w:rFonts w:eastAsia="Calibri"/>
                <w:bCs/>
                <w:kern w:val="0"/>
                <w:sz w:val="24"/>
                <w:szCs w:val="24"/>
                <w:lang w:val="ru-RU" w:eastAsia="en-US" w:bidi="ar-SA"/>
              </w:rPr>
              <w:t>)</w:t>
              <w:br/>
            </w:r>
            <w:r>
              <w:rPr>
                <w:rFonts w:eastAsia="Calibri"/>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1"/>
              <w:widowControl w:val="false"/>
              <w:spacing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2652" w:type="dxa"/>
            <w:tcBorders/>
          </w:tcPr>
          <w:p>
            <w:pPr>
              <w:pStyle w:val="Style21"/>
              <w:widowControl w:val="false"/>
              <w:spacing w:before="40" w:after="40"/>
              <w:jc w:val="center"/>
              <w:rPr>
                <w:bCs/>
                <w:sz w:val="24"/>
                <w:szCs w:val="24"/>
              </w:rPr>
            </w:pPr>
            <w:r>
              <w:rPr>
                <w:rFonts w:eastAsia="Calibri"/>
                <w:bCs/>
                <w:kern w:val="0"/>
                <w:sz w:val="24"/>
                <w:szCs w:val="24"/>
                <w:lang w:val="ru-RU" w:eastAsia="en-US" w:bidi="ar-SA"/>
              </w:rPr>
              <w:t>Подача заявок и их прием</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_Ref125362119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4.6</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2651" w:type="dxa"/>
            <w:tcBorders/>
          </w:tcPr>
          <w:p>
            <w:pPr>
              <w:pStyle w:val="Style21"/>
              <w:widowControl w:val="false"/>
              <w:spacing w:before="40" w:after="40"/>
              <w:jc w:val="center"/>
              <w:rPr>
                <w:bCs/>
                <w:sz w:val="24"/>
                <w:szCs w:val="24"/>
              </w:rPr>
            </w:pPr>
            <w:r>
              <w:rPr>
                <w:rFonts w:eastAsia="Calibri"/>
                <w:bCs/>
                <w:kern w:val="0"/>
                <w:sz w:val="24"/>
                <w:szCs w:val="24"/>
                <w:lang w:val="ru-RU" w:eastAsia="en-US" w:bidi="ar-SA"/>
              </w:rPr>
              <w:t>Изменение и отзыв заявок</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_Ref125362130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4.7</w:t>
            </w:r>
            <w:r>
              <w:rPr>
                <w:sz w:val="24"/>
                <w:kern w:val="0"/>
                <w:szCs w:val="24"/>
                <w:bCs/>
                <w:rFonts w:eastAsia="Calibri"/>
                <w:lang w:val="ru-RU" w:eastAsia="en-US" w:bidi="ar-SA"/>
              </w:rPr>
              <w:fldChar w:fldCharType="end"/>
            </w:r>
            <w:r>
              <w:rPr>
                <w:rFonts w:eastAsia="Calibri"/>
                <w:bCs/>
                <w:kern w:val="0"/>
                <w:sz w:val="24"/>
                <w:szCs w:val="24"/>
                <w:lang w:val="ru-RU" w:eastAsia="en-US" w:bidi="ar-SA"/>
              </w:rPr>
              <w:t>)</w:t>
              <w:br/>
            </w:r>
            <w:r>
              <w:rPr>
                <w:rFonts w:eastAsia="Calibri"/>
                <w:bCs/>
                <w:i/>
                <w:iCs/>
                <w:kern w:val="0"/>
                <w:sz w:val="24"/>
                <w:szCs w:val="24"/>
                <w:lang w:val="ru-RU" w:eastAsia="en-US" w:bidi="ar-SA"/>
              </w:rPr>
              <w:t>(опциональная процедура закупки)</w:t>
            </w:r>
          </w:p>
        </w:tc>
        <w:tc>
          <w:tcPr>
            <w:tcW w:w="3827" w:type="dxa"/>
            <w:vMerge w:val="continue"/>
            <w:tcBorders/>
          </w:tcPr>
          <w:p>
            <w:pPr>
              <w:pStyle w:val="Style21"/>
              <w:widowControl w:val="false"/>
              <w:spacing w:before="40" w:after="40"/>
              <w:jc w:val="center"/>
              <w:rPr>
                <w:bCs/>
                <w:sz w:val="24"/>
                <w:szCs w:val="24"/>
              </w:rPr>
            </w:pPr>
            <w:r>
              <w:rPr>
                <w:bCs/>
                <w:sz w:val="24"/>
                <w:szCs w:val="24"/>
              </w:rPr>
            </w:r>
          </w:p>
        </w:tc>
        <w:tc>
          <w:tcPr>
            <w:tcW w:w="2269" w:type="dxa"/>
            <w:vMerge w:val="continue"/>
            <w:tcBorders/>
          </w:tcPr>
          <w:p>
            <w:pPr>
              <w:pStyle w:val="Style21"/>
              <w:widowControl w:val="false"/>
              <w:spacing w:before="40" w:after="40"/>
              <w:jc w:val="center"/>
              <w:rPr>
                <w:bCs/>
                <w:sz w:val="24"/>
                <w:szCs w:val="24"/>
              </w:rPr>
            </w:pPr>
            <w:r>
              <w:rPr>
                <w:bCs/>
                <w:sz w:val="24"/>
                <w:szCs w:val="24"/>
              </w:rPr>
            </w:r>
          </w:p>
        </w:tc>
        <w:tc>
          <w:tcPr>
            <w:tcW w:w="2235" w:type="dxa"/>
            <w:vMerge w:val="continue"/>
            <w:tcBorders>
              <w:right w:val="nil"/>
            </w:tcBorders>
          </w:tcPr>
          <w:p>
            <w:pPr>
              <w:pStyle w:val="Style21"/>
              <w:widowControl w:val="false"/>
              <w:spacing w:before="40" w:after="40"/>
              <w:jc w:val="center"/>
              <w:rPr>
                <w:bCs/>
                <w:sz w:val="24"/>
                <w:szCs w:val="24"/>
              </w:rPr>
            </w:pPr>
            <w:r>
              <w:rPr>
                <w:bCs/>
                <w:sz w:val="24"/>
                <w:szCs w:val="24"/>
              </w:rPr>
            </w:r>
          </w:p>
        </w:tc>
      </w:tr>
      <w:tr>
        <w:trPr/>
        <w:tc>
          <w:tcPr>
            <w:tcW w:w="372" w:type="dxa"/>
            <w:tcBorders>
              <w:left w:val="nil"/>
            </w:tcBorders>
            <w:vAlign w:val="bottom"/>
          </w:tcPr>
          <w:p>
            <w:pPr>
              <w:pStyle w:val="Style21"/>
              <w:widowControl w:val="false"/>
              <w:spacing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11399" w:type="dxa"/>
            <w:gridSpan w:val="4"/>
            <w:tcBorders/>
          </w:tcPr>
          <w:p>
            <w:pPr>
              <w:pStyle w:val="Style21"/>
              <w:widowControl w:val="false"/>
              <w:spacing w:before="40" w:after="40"/>
              <w:jc w:val="center"/>
              <w:rPr>
                <w:bCs/>
                <w:sz w:val="24"/>
                <w:szCs w:val="24"/>
              </w:rPr>
            </w:pPr>
            <w:r>
              <w:rPr>
                <w:rFonts w:eastAsia="Calibri"/>
                <w:bCs/>
                <w:kern w:val="0"/>
                <w:sz w:val="24"/>
                <w:szCs w:val="24"/>
                <w:lang w:val="ru-RU" w:eastAsia="en-US" w:bidi="ar-SA"/>
              </w:rPr>
              <w:t>Открытие доступа к первым частям заявок (подраздел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_Ref132816188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4.8</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2235" w:type="dxa"/>
            <w:tcBorders>
              <w:bottom w:val="nil"/>
              <w:right w:val="nil"/>
            </w:tcBorders>
          </w:tcPr>
          <w:p>
            <w:pPr>
              <w:pStyle w:val="Style21"/>
              <w:widowControl w:val="false"/>
              <w:spacing w:before="40" w:after="40"/>
              <w:jc w:val="center"/>
              <w:rPr>
                <w:bCs/>
                <w:sz w:val="24"/>
                <w:szCs w:val="24"/>
              </w:rPr>
            </w:pPr>
            <w:r>
              <w:rPr>
                <w:bCs/>
                <w:sz w:val="24"/>
                <w:szCs w:val="24"/>
              </w:rPr>
            </w:r>
          </w:p>
        </w:tc>
      </w:tr>
      <w:tr>
        <w:trPr/>
        <w:tc>
          <w:tcPr>
            <w:tcW w:w="372" w:type="dxa"/>
            <w:tcBorders>
              <w:left w:val="nil"/>
            </w:tcBorders>
            <w:vAlign w:val="bottom"/>
          </w:tcPr>
          <w:p>
            <w:pPr>
              <w:pStyle w:val="Style21"/>
              <w:widowControl w:val="false"/>
              <w:spacing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5303" w:type="dxa"/>
            <w:gridSpan w:val="2"/>
            <w:tcBorders/>
            <w:vAlign w:val="center"/>
          </w:tcPr>
          <w:p>
            <w:pPr>
              <w:pStyle w:val="Style21"/>
              <w:widowControl w:val="false"/>
              <w:spacing w:before="40" w:after="40"/>
              <w:jc w:val="center"/>
              <w:rPr>
                <w:bCs/>
                <w:sz w:val="24"/>
                <w:szCs w:val="24"/>
              </w:rPr>
            </w:pPr>
            <w:r>
              <w:rPr>
                <w:rFonts w:eastAsia="Calibri"/>
                <w:bCs/>
                <w:kern w:val="0"/>
                <w:sz w:val="24"/>
                <w:szCs w:val="24"/>
                <w:lang w:val="ru-RU" w:eastAsia="en-US" w:bidi="ar-SA"/>
              </w:rPr>
              <w:t>Рассмотрение первых частей заявок</w:t>
              <w:br/>
              <w:t>(отборочная стадия) (подраздел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_Ref125362364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4.9</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3827" w:type="dxa"/>
            <w:tcBorders/>
            <w:vAlign w:val="center"/>
          </w:tcPr>
          <w:p>
            <w:pPr>
              <w:pStyle w:val="Style21"/>
              <w:widowControl w:val="false"/>
              <w:spacing w:before="40" w:after="40"/>
              <w:jc w:val="center"/>
              <w:rPr>
                <w:bCs/>
                <w:sz w:val="24"/>
                <w:szCs w:val="24"/>
              </w:rPr>
            </w:pPr>
            <w:r>
              <w:rPr>
                <w:rFonts w:eastAsia="Calibri"/>
                <w:bCs/>
                <w:kern w:val="0"/>
                <w:sz w:val="24"/>
                <w:szCs w:val="24"/>
                <w:lang w:val="ru-RU" w:eastAsia="en-US" w:bidi="ar-SA"/>
              </w:rPr>
              <w:t>Направление дополнительных запросов разъяснений заявок</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_Ref125362381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4.15</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2269" w:type="dxa"/>
            <w:vMerge w:val="restart"/>
            <w:tcBorders>
              <w:top w:val="nil"/>
            </w:tcBorders>
            <w:vAlign w:val="center"/>
          </w:tcPr>
          <w:p>
            <w:pPr>
              <w:pStyle w:val="Style21"/>
              <w:widowControl w:val="false"/>
              <w:spacing w:before="40" w:after="40"/>
              <w:jc w:val="center"/>
              <w:rPr>
                <w:bCs/>
                <w:sz w:val="24"/>
                <w:szCs w:val="24"/>
              </w:rPr>
            </w:pPr>
            <w:r>
              <w:rPr>
                <w:rFonts w:eastAsia="Calibri"/>
                <w:bCs/>
                <w:kern w:val="0"/>
                <w:sz w:val="24"/>
                <w:szCs w:val="24"/>
                <w:lang w:val="ru-RU" w:eastAsia="en-US" w:bidi="ar-SA"/>
              </w:rPr>
              <w:t>Признание закупки</w:t>
              <w:br/>
              <w:t>несостоявшейся</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_Ref125364149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4.20</w:t>
            </w:r>
            <w:r>
              <w:rPr>
                <w:sz w:val="24"/>
                <w:kern w:val="0"/>
                <w:szCs w:val="24"/>
                <w:bCs/>
                <w:rFonts w:eastAsia="Calibri"/>
                <w:lang w:val="ru-RU" w:eastAsia="en-US" w:bidi="ar-SA"/>
              </w:rPr>
              <w:fldChar w:fldCharType="end"/>
            </w:r>
            <w:r>
              <w:rPr>
                <w:rFonts w:eastAsia="Calibri"/>
                <w:bCs/>
                <w:kern w:val="0"/>
                <w:sz w:val="24"/>
                <w:szCs w:val="24"/>
                <w:lang w:val="ru-RU" w:eastAsia="en-US" w:bidi="ar-SA"/>
              </w:rPr>
              <w:t>)</w:t>
              <w:br/>
            </w:r>
            <w:r>
              <w:rPr>
                <w:rFonts w:eastAsia="Calibri"/>
                <w:bCs/>
                <w:i/>
                <w:iCs/>
                <w:kern w:val="0"/>
                <w:sz w:val="24"/>
                <w:szCs w:val="24"/>
                <w:lang w:val="ru-RU" w:eastAsia="en-US" w:bidi="ar-SA"/>
              </w:rPr>
              <w:t>(опциональная процедура закупки)</w:t>
            </w:r>
          </w:p>
        </w:tc>
        <w:tc>
          <w:tcPr>
            <w:tcW w:w="2235" w:type="dxa"/>
            <w:vMerge w:val="restart"/>
            <w:tcBorders>
              <w:top w:val="nil"/>
              <w:right w:val="nil"/>
            </w:tcBorders>
            <w:vAlign w:val="center"/>
          </w:tcPr>
          <w:p>
            <w:pPr>
              <w:pStyle w:val="Style21"/>
              <w:widowControl w:val="false"/>
              <w:spacing w:before="40" w:after="40"/>
              <w:jc w:val="center"/>
              <w:rPr>
                <w:bCs/>
                <w:sz w:val="24"/>
                <w:szCs w:val="24"/>
              </w:rPr>
            </w:pPr>
            <w:r>
              <w:rPr>
                <w:rFonts w:eastAsia="Calibri"/>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_Ref132816141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4.21</w:t>
            </w:r>
            <w:r>
              <w:rPr>
                <w:sz w:val="24"/>
                <w:kern w:val="0"/>
                <w:szCs w:val="24"/>
                <w:bCs/>
                <w:rFonts w:eastAsia="Calibri"/>
                <w:lang w:val="ru-RU" w:eastAsia="en-US" w:bidi="ar-SA"/>
              </w:rPr>
              <w:fldChar w:fldCharType="end"/>
            </w:r>
            <w:r>
              <w:rPr>
                <w:rFonts w:eastAsia="Calibri"/>
                <w:bCs/>
                <w:kern w:val="0"/>
                <w:sz w:val="24"/>
                <w:szCs w:val="24"/>
                <w:lang w:val="ru-RU" w:eastAsia="en-US" w:bidi="ar-SA"/>
              </w:rPr>
              <w:t>)</w:t>
              <w:br/>
            </w:r>
            <w:r>
              <w:rPr>
                <w:rFonts w:eastAsia="Calibri"/>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1"/>
              <w:widowControl w:val="false"/>
              <w:spacing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9130" w:type="dxa"/>
            <w:gridSpan w:val="3"/>
            <w:tcBorders/>
            <w:vAlign w:val="center"/>
          </w:tcPr>
          <w:p>
            <w:pPr>
              <w:pStyle w:val="Style21"/>
              <w:widowControl w:val="false"/>
              <w:spacing w:before="40" w:after="40"/>
              <w:jc w:val="center"/>
              <w:rPr>
                <w:bCs/>
                <w:sz w:val="24"/>
                <w:szCs w:val="24"/>
              </w:rPr>
            </w:pPr>
            <w:r>
              <w:rPr>
                <w:rFonts w:eastAsia="Calibri"/>
                <w:bCs/>
                <w:kern w:val="0"/>
                <w:sz w:val="24"/>
                <w:szCs w:val="24"/>
                <w:lang w:val="ru-RU" w:eastAsia="en-US" w:bidi="ar-SA"/>
              </w:rPr>
              <w:t>Проведение аукциона (подраздел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_Ref149649965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4.10</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2269" w:type="dxa"/>
            <w:vMerge w:val="continue"/>
            <w:tcBorders>
              <w:top w:val="nil"/>
            </w:tcBorders>
            <w:vAlign w:val="center"/>
          </w:tcPr>
          <w:p>
            <w:pPr>
              <w:pStyle w:val="Style21"/>
              <w:widowControl w:val="false"/>
              <w:spacing w:before="40" w:after="40"/>
              <w:jc w:val="center"/>
              <w:rPr>
                <w:bCs/>
                <w:sz w:val="24"/>
                <w:szCs w:val="24"/>
              </w:rPr>
            </w:pPr>
            <w:r>
              <w:rPr>
                <w:bCs/>
                <w:sz w:val="24"/>
                <w:szCs w:val="24"/>
              </w:rPr>
            </w:r>
          </w:p>
        </w:tc>
        <w:tc>
          <w:tcPr>
            <w:tcW w:w="2235" w:type="dxa"/>
            <w:vMerge w:val="continue"/>
            <w:tcBorders>
              <w:top w:val="nil"/>
              <w:right w:val="nil"/>
            </w:tcBorders>
            <w:vAlign w:val="center"/>
          </w:tcPr>
          <w:p>
            <w:pPr>
              <w:pStyle w:val="Style21"/>
              <w:widowControl w:val="false"/>
              <w:spacing w:before="40" w:after="40"/>
              <w:jc w:val="center"/>
              <w:rPr>
                <w:bCs/>
                <w:sz w:val="24"/>
                <w:szCs w:val="24"/>
              </w:rPr>
            </w:pPr>
            <w:r>
              <w:rPr>
                <w:bCs/>
                <w:sz w:val="24"/>
                <w:szCs w:val="24"/>
              </w:rPr>
            </w:r>
          </w:p>
        </w:tc>
      </w:tr>
      <w:tr>
        <w:trPr>
          <w:trHeight w:val="276" w:hRule="atLeast"/>
        </w:trPr>
        <w:tc>
          <w:tcPr>
            <w:tcW w:w="372" w:type="dxa"/>
            <w:tcBorders>
              <w:left w:val="nil"/>
            </w:tcBorders>
            <w:vAlign w:val="bottom"/>
          </w:tcPr>
          <w:p>
            <w:pPr>
              <w:pStyle w:val="Style21"/>
              <w:widowControl w:val="false"/>
              <w:spacing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5303" w:type="dxa"/>
            <w:gridSpan w:val="2"/>
            <w:tcBorders/>
          </w:tcPr>
          <w:p>
            <w:pPr>
              <w:pStyle w:val="Style21"/>
              <w:widowControl w:val="false"/>
              <w:spacing w:before="40" w:after="40"/>
              <w:jc w:val="center"/>
              <w:rPr>
                <w:bCs/>
                <w:sz w:val="24"/>
                <w:szCs w:val="24"/>
              </w:rPr>
            </w:pPr>
            <w:r>
              <w:rPr>
                <w:rFonts w:eastAsia="Calibri"/>
                <w:bCs/>
                <w:kern w:val="0"/>
                <w:sz w:val="24"/>
                <w:szCs w:val="24"/>
                <w:lang w:val="ru-RU" w:eastAsia="en-US" w:bidi="ar-SA"/>
              </w:rPr>
              <w:t>Открытие доступа ко вторым частям заявок</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_Ref132801184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4.11</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3827" w:type="dxa"/>
            <w:vMerge w:val="restart"/>
            <w:tcBorders/>
            <w:vAlign w:val="center"/>
          </w:tcPr>
          <w:p>
            <w:pPr>
              <w:pStyle w:val="Style21"/>
              <w:widowControl w:val="false"/>
              <w:spacing w:before="40" w:after="40"/>
              <w:jc w:val="center"/>
              <w:rPr>
                <w:bCs/>
                <w:sz w:val="24"/>
                <w:szCs w:val="24"/>
              </w:rPr>
            </w:pPr>
            <w:r>
              <w:rPr>
                <w:rFonts w:eastAsia="Calibri"/>
                <w:bCs/>
                <w:kern w:val="0"/>
                <w:sz w:val="24"/>
                <w:szCs w:val="24"/>
                <w:lang w:val="ru-RU" w:eastAsia="en-US" w:bidi="ar-SA"/>
              </w:rPr>
              <w:t>Направление дополнительных запросов разъяснений заявок</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_Ref125362381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4.15</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2269" w:type="dxa"/>
            <w:vMerge w:val="continue"/>
            <w:tcBorders/>
          </w:tcPr>
          <w:p>
            <w:pPr>
              <w:pStyle w:val="Style21"/>
              <w:widowControl w:val="false"/>
              <w:spacing w:before="40" w:after="40"/>
              <w:jc w:val="center"/>
              <w:rPr>
                <w:bCs/>
                <w:sz w:val="24"/>
                <w:szCs w:val="24"/>
              </w:rPr>
            </w:pPr>
            <w:r>
              <w:rPr>
                <w:bCs/>
                <w:sz w:val="24"/>
                <w:szCs w:val="24"/>
              </w:rPr>
            </w:r>
          </w:p>
        </w:tc>
        <w:tc>
          <w:tcPr>
            <w:tcW w:w="2235" w:type="dxa"/>
            <w:vMerge w:val="continue"/>
            <w:tcBorders>
              <w:right w:val="nil"/>
            </w:tcBorders>
          </w:tcPr>
          <w:p>
            <w:pPr>
              <w:pStyle w:val="Style21"/>
              <w:widowControl w:val="false"/>
              <w:spacing w:before="40" w:after="40"/>
              <w:jc w:val="center"/>
              <w:rPr>
                <w:bCs/>
                <w:sz w:val="24"/>
                <w:szCs w:val="24"/>
              </w:rPr>
            </w:pPr>
            <w:r>
              <w:rPr>
                <w:bCs/>
                <w:sz w:val="24"/>
                <w:szCs w:val="24"/>
              </w:rPr>
            </w:r>
          </w:p>
        </w:tc>
      </w:tr>
      <w:tr>
        <w:trPr/>
        <w:tc>
          <w:tcPr>
            <w:tcW w:w="372" w:type="dxa"/>
            <w:tcBorders>
              <w:left w:val="nil"/>
            </w:tcBorders>
            <w:vAlign w:val="bottom"/>
          </w:tcPr>
          <w:p>
            <w:pPr>
              <w:pStyle w:val="Style21"/>
              <w:widowControl w:val="false"/>
              <w:spacing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2652" w:type="dxa"/>
            <w:tcBorders/>
          </w:tcPr>
          <w:p>
            <w:pPr>
              <w:pStyle w:val="Style21"/>
              <w:widowControl w:val="false"/>
              <w:spacing w:before="40" w:after="40"/>
              <w:jc w:val="center"/>
              <w:rPr>
                <w:bCs/>
                <w:sz w:val="24"/>
                <w:szCs w:val="24"/>
              </w:rPr>
            </w:pPr>
            <w:r>
              <w:rPr>
                <w:rFonts w:eastAsia="Calibri"/>
                <w:bCs/>
                <w:kern w:val="0"/>
                <w:sz w:val="24"/>
                <w:szCs w:val="24"/>
                <w:lang w:val="ru-RU" w:eastAsia="en-US" w:bidi="ar-SA"/>
              </w:rPr>
              <w:t>Рассмотрение вторых частей заявок (отборочная стадия), в том числе (при необходимости) проведение аккредитации</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_Ref132797154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4.12</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2651" w:type="dxa"/>
            <w:tcBorders/>
          </w:tcPr>
          <w:p>
            <w:pPr>
              <w:pStyle w:val="Style21"/>
              <w:widowControl w:val="false"/>
              <w:spacing w:before="40" w:after="40"/>
              <w:jc w:val="center"/>
              <w:rPr>
                <w:bCs/>
                <w:sz w:val="24"/>
                <w:szCs w:val="24"/>
              </w:rPr>
            </w:pPr>
            <w:r>
              <w:rPr>
                <w:rFonts w:eastAsia="Calibri"/>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 в отношении работ, услуг)</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_Ref149648944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4.17</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3827" w:type="dxa"/>
            <w:vMerge w:val="continue"/>
            <w:tcBorders/>
          </w:tcPr>
          <w:p>
            <w:pPr>
              <w:pStyle w:val="Style21"/>
              <w:widowControl w:val="false"/>
              <w:spacing w:before="40" w:after="40"/>
              <w:jc w:val="center"/>
              <w:rPr>
                <w:bCs/>
                <w:sz w:val="24"/>
                <w:szCs w:val="24"/>
              </w:rPr>
            </w:pPr>
            <w:r>
              <w:rPr>
                <w:bCs/>
                <w:sz w:val="24"/>
                <w:szCs w:val="24"/>
              </w:rPr>
            </w:r>
          </w:p>
        </w:tc>
        <w:tc>
          <w:tcPr>
            <w:tcW w:w="2269" w:type="dxa"/>
            <w:vMerge w:val="continue"/>
            <w:tcBorders/>
          </w:tcPr>
          <w:p>
            <w:pPr>
              <w:pStyle w:val="Style21"/>
              <w:widowControl w:val="false"/>
              <w:spacing w:before="40" w:after="40"/>
              <w:jc w:val="center"/>
              <w:rPr>
                <w:bCs/>
                <w:sz w:val="24"/>
                <w:szCs w:val="24"/>
              </w:rPr>
            </w:pPr>
            <w:r>
              <w:rPr>
                <w:bCs/>
                <w:sz w:val="24"/>
                <w:szCs w:val="24"/>
              </w:rPr>
            </w:r>
          </w:p>
        </w:tc>
        <w:tc>
          <w:tcPr>
            <w:tcW w:w="2235" w:type="dxa"/>
            <w:vMerge w:val="continue"/>
            <w:tcBorders>
              <w:right w:val="nil"/>
            </w:tcBorders>
          </w:tcPr>
          <w:p>
            <w:pPr>
              <w:pStyle w:val="Style21"/>
              <w:widowControl w:val="false"/>
              <w:spacing w:before="40" w:after="40"/>
              <w:jc w:val="center"/>
              <w:rPr>
                <w:bCs/>
                <w:sz w:val="24"/>
                <w:szCs w:val="24"/>
              </w:rPr>
            </w:pPr>
            <w:r>
              <w:rPr>
                <w:bCs/>
                <w:sz w:val="24"/>
                <w:szCs w:val="24"/>
              </w:rPr>
            </w:r>
          </w:p>
        </w:tc>
      </w:tr>
      <w:tr>
        <w:trPr/>
        <w:tc>
          <w:tcPr>
            <w:tcW w:w="372" w:type="dxa"/>
            <w:tcBorders>
              <w:left w:val="nil"/>
            </w:tcBorders>
            <w:vAlign w:val="bottom"/>
          </w:tcPr>
          <w:p>
            <w:pPr>
              <w:pStyle w:val="Style21"/>
              <w:widowControl w:val="false"/>
              <w:spacing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5303" w:type="dxa"/>
            <w:gridSpan w:val="2"/>
            <w:tcBorders/>
          </w:tcPr>
          <w:p>
            <w:pPr>
              <w:pStyle w:val="Style21"/>
              <w:widowControl w:val="false"/>
              <w:spacing w:before="40" w:after="40"/>
              <w:jc w:val="center"/>
              <w:rPr>
                <w:bCs/>
                <w:sz w:val="24"/>
                <w:szCs w:val="24"/>
              </w:rPr>
            </w:pPr>
            <w:r>
              <w:rPr>
                <w:rFonts w:eastAsia="Calibri"/>
                <w:bCs/>
                <w:kern w:val="0"/>
                <w:sz w:val="24"/>
                <w:szCs w:val="24"/>
                <w:lang w:val="ru-RU" w:eastAsia="en-US" w:bidi="ar-SA"/>
              </w:rPr>
              <w:t>Открытие доступа к ценовым предложениям</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_Ref149656136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4.13</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3827" w:type="dxa"/>
            <w:vMerge w:val="continue"/>
            <w:tcBorders/>
          </w:tcPr>
          <w:p>
            <w:pPr>
              <w:pStyle w:val="Style21"/>
              <w:widowControl w:val="false"/>
              <w:spacing w:before="40" w:after="40"/>
              <w:jc w:val="center"/>
              <w:rPr>
                <w:bCs/>
                <w:sz w:val="24"/>
                <w:szCs w:val="24"/>
              </w:rPr>
            </w:pPr>
            <w:r>
              <w:rPr>
                <w:bCs/>
                <w:sz w:val="24"/>
                <w:szCs w:val="24"/>
              </w:rPr>
            </w:r>
          </w:p>
        </w:tc>
        <w:tc>
          <w:tcPr>
            <w:tcW w:w="2269" w:type="dxa"/>
            <w:vMerge w:val="continue"/>
            <w:tcBorders/>
          </w:tcPr>
          <w:p>
            <w:pPr>
              <w:pStyle w:val="Style21"/>
              <w:widowControl w:val="false"/>
              <w:spacing w:before="40" w:after="40"/>
              <w:jc w:val="center"/>
              <w:rPr>
                <w:bCs/>
                <w:sz w:val="24"/>
                <w:szCs w:val="24"/>
              </w:rPr>
            </w:pPr>
            <w:r>
              <w:rPr>
                <w:bCs/>
                <w:sz w:val="24"/>
                <w:szCs w:val="24"/>
              </w:rPr>
            </w:r>
          </w:p>
        </w:tc>
        <w:tc>
          <w:tcPr>
            <w:tcW w:w="2235" w:type="dxa"/>
            <w:vMerge w:val="continue"/>
            <w:tcBorders>
              <w:right w:val="nil"/>
            </w:tcBorders>
          </w:tcPr>
          <w:p>
            <w:pPr>
              <w:pStyle w:val="Style21"/>
              <w:widowControl w:val="false"/>
              <w:spacing w:before="40" w:after="40"/>
              <w:jc w:val="center"/>
              <w:rPr>
                <w:bCs/>
                <w:sz w:val="24"/>
                <w:szCs w:val="24"/>
              </w:rPr>
            </w:pPr>
            <w:r>
              <w:rPr>
                <w:bCs/>
                <w:sz w:val="24"/>
                <w:szCs w:val="24"/>
              </w:rPr>
            </w:r>
          </w:p>
        </w:tc>
      </w:tr>
      <w:tr>
        <w:trPr/>
        <w:tc>
          <w:tcPr>
            <w:tcW w:w="372" w:type="dxa"/>
            <w:tcBorders>
              <w:left w:val="nil"/>
            </w:tcBorders>
            <w:vAlign w:val="bottom"/>
          </w:tcPr>
          <w:p>
            <w:pPr>
              <w:pStyle w:val="Style21"/>
              <w:widowControl w:val="false"/>
              <w:spacing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2652" w:type="dxa"/>
            <w:tcBorders/>
          </w:tcPr>
          <w:p>
            <w:pPr>
              <w:pStyle w:val="Style21"/>
              <w:widowControl w:val="false"/>
              <w:spacing w:before="40" w:after="40"/>
              <w:jc w:val="center"/>
              <w:rPr>
                <w:bCs/>
                <w:sz w:val="24"/>
                <w:szCs w:val="24"/>
              </w:rPr>
            </w:pPr>
            <w:r>
              <w:rPr>
                <w:rFonts w:eastAsia="Calibri"/>
                <w:bCs/>
                <w:kern w:val="0"/>
                <w:sz w:val="24"/>
                <w:szCs w:val="24"/>
                <w:lang w:val="ru-RU" w:eastAsia="en-US" w:bidi="ar-SA"/>
              </w:rPr>
              <w:t>Рассмотрения ценовых предложений</w:t>
              <w:br/>
              <w:t>(отборочная стадия) (подраздел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_Ref149656148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4.14</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2651" w:type="dxa"/>
            <w:tcBorders/>
          </w:tcPr>
          <w:p>
            <w:pPr>
              <w:pStyle w:val="Style21"/>
              <w:widowControl w:val="false"/>
              <w:spacing w:before="40" w:after="40"/>
              <w:jc w:val="center"/>
              <w:rPr>
                <w:bCs/>
                <w:sz w:val="24"/>
                <w:szCs w:val="24"/>
              </w:rPr>
            </w:pPr>
            <w:r>
              <w:rPr>
                <w:rFonts w:eastAsia="Calibri"/>
                <w:bCs/>
                <w:kern w:val="0"/>
                <w:sz w:val="24"/>
                <w:szCs w:val="24"/>
                <w:lang w:val="ru-RU" w:eastAsia="en-US" w:bidi="ar-SA"/>
              </w:rPr>
              <w:t>Применение законодательства о</w:t>
            </w:r>
            <w:r>
              <w:rPr>
                <w:rFonts w:eastAsia="Calibri"/>
                <w:bCs/>
                <w:kern w:val="0"/>
                <w:sz w:val="24"/>
                <w:szCs w:val="24"/>
                <w:lang w:val="en-US" w:eastAsia="en-US" w:bidi="ar-SA"/>
              </w:rPr>
              <w:t> </w:t>
            </w:r>
            <w:r>
              <w:rPr>
                <w:rFonts w:eastAsia="Calibri"/>
                <w:bCs/>
                <w:kern w:val="0"/>
                <w:sz w:val="24"/>
                <w:szCs w:val="24"/>
                <w:lang w:val="ru-RU" w:eastAsia="en-US" w:bidi="ar-SA"/>
              </w:rPr>
              <w:t>национальном режиме (</w:t>
            </w:r>
            <w:r>
              <w:rPr>
                <w:rFonts w:eastAsia="Calibri"/>
                <w:bCs/>
                <w:kern w:val="0"/>
                <w:sz w:val="24"/>
                <w:szCs w:val="24"/>
                <w:u w:val="single"/>
                <w:lang w:val="ru-RU" w:eastAsia="en-US" w:bidi="ar-SA"/>
              </w:rPr>
              <w:t>предоставление национального режима / запрета, ограничения</w:t>
            </w:r>
            <w:r>
              <w:rPr>
                <w:rFonts w:eastAsia="Calibri"/>
                <w:bCs/>
                <w:kern w:val="0"/>
                <w:sz w:val="24"/>
                <w:szCs w:val="24"/>
                <w:lang w:val="ru-RU" w:eastAsia="en-US" w:bidi="ar-SA"/>
              </w:rPr>
              <w:t xml:space="preserve">) </w:t>
            </w:r>
            <w:r>
              <w:rPr>
                <w:rFonts w:eastAsia="Calibri"/>
                <w:bCs/>
                <w:kern w:val="0"/>
                <w:sz w:val="24"/>
                <w:szCs w:val="24"/>
                <w:u w:val="single"/>
                <w:lang w:val="ru-RU" w:eastAsia="en-US" w:bidi="ar-SA"/>
              </w:rPr>
              <w:t>в отношении товаров</w:t>
            </w:r>
            <w:r>
              <w:rPr>
                <w:rFonts w:eastAsia="Calibri"/>
                <w:bCs/>
                <w:kern w:val="0"/>
                <w:sz w:val="24"/>
                <w:szCs w:val="24"/>
                <w:lang w:val="ru-RU" w:eastAsia="en-US" w:bidi="ar-SA"/>
              </w:rPr>
              <w:t xml:space="preserve"> (подраздел</w:t>
            </w:r>
            <w:r>
              <w:rPr>
                <w:rFonts w:eastAsia="Calibri"/>
                <w:bCs/>
                <w:kern w:val="0"/>
                <w:sz w:val="24"/>
                <w:szCs w:val="24"/>
                <w:lang w:val="en-US" w:eastAsia="en-US" w:bidi="ar-SA"/>
              </w:rPr>
              <w:t>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_Ref149648944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4.17</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3827" w:type="dxa"/>
            <w:vMerge w:val="continue"/>
            <w:tcBorders/>
          </w:tcPr>
          <w:p>
            <w:pPr>
              <w:pStyle w:val="Style21"/>
              <w:widowControl w:val="false"/>
              <w:spacing w:before="40" w:after="40"/>
              <w:jc w:val="center"/>
              <w:rPr>
                <w:bCs/>
                <w:sz w:val="24"/>
                <w:szCs w:val="24"/>
              </w:rPr>
            </w:pPr>
            <w:r>
              <w:rPr>
                <w:bCs/>
                <w:sz w:val="24"/>
                <w:szCs w:val="24"/>
              </w:rPr>
            </w:r>
          </w:p>
        </w:tc>
        <w:tc>
          <w:tcPr>
            <w:tcW w:w="2269" w:type="dxa"/>
            <w:vMerge w:val="continue"/>
            <w:tcBorders/>
          </w:tcPr>
          <w:p>
            <w:pPr>
              <w:pStyle w:val="Style21"/>
              <w:widowControl w:val="false"/>
              <w:spacing w:before="40" w:after="40"/>
              <w:jc w:val="center"/>
              <w:rPr>
                <w:bCs/>
                <w:sz w:val="24"/>
                <w:szCs w:val="24"/>
              </w:rPr>
            </w:pPr>
            <w:r>
              <w:rPr>
                <w:bCs/>
                <w:sz w:val="24"/>
                <w:szCs w:val="24"/>
              </w:rPr>
            </w:r>
          </w:p>
        </w:tc>
        <w:tc>
          <w:tcPr>
            <w:tcW w:w="2235" w:type="dxa"/>
            <w:vMerge w:val="continue"/>
            <w:tcBorders>
              <w:right w:val="nil"/>
            </w:tcBorders>
          </w:tcPr>
          <w:p>
            <w:pPr>
              <w:pStyle w:val="Style21"/>
              <w:widowControl w:val="false"/>
              <w:spacing w:before="40" w:after="40"/>
              <w:jc w:val="center"/>
              <w:rPr>
                <w:bCs/>
                <w:sz w:val="24"/>
                <w:szCs w:val="24"/>
              </w:rPr>
            </w:pPr>
            <w:r>
              <w:rPr>
                <w:bCs/>
                <w:sz w:val="24"/>
                <w:szCs w:val="24"/>
              </w:rPr>
            </w:r>
          </w:p>
        </w:tc>
      </w:tr>
      <w:tr>
        <w:trPr>
          <w:trHeight w:val="351" w:hRule="atLeast"/>
        </w:trPr>
        <w:tc>
          <w:tcPr>
            <w:tcW w:w="372" w:type="dxa"/>
            <w:tcBorders>
              <w:left w:val="nil"/>
              <w:bottom w:val="single" w:sz="4" w:space="0" w:color="000000"/>
            </w:tcBorders>
            <w:vAlign w:val="bottom"/>
          </w:tcPr>
          <w:p>
            <w:pPr>
              <w:pStyle w:val="Style21"/>
              <w:widowControl w:val="false"/>
              <w:spacing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5303" w:type="dxa"/>
            <w:gridSpan w:val="2"/>
            <w:tcBorders>
              <w:bottom w:val="single" w:sz="4" w:space="0" w:color="000000"/>
            </w:tcBorders>
            <w:vAlign w:val="center"/>
          </w:tcPr>
          <w:p>
            <w:pPr>
              <w:pStyle w:val="Style21"/>
              <w:widowControl w:val="false"/>
              <w:spacing w:before="40" w:after="40"/>
              <w:jc w:val="center"/>
              <w:rPr>
                <w:bCs/>
                <w:sz w:val="24"/>
                <w:szCs w:val="24"/>
              </w:rPr>
            </w:pPr>
            <w:r>
              <w:rPr>
                <w:rFonts w:eastAsia="Calibri"/>
                <w:bCs/>
                <w:kern w:val="0"/>
                <w:sz w:val="24"/>
                <w:szCs w:val="24"/>
                <w:lang w:val="ru-RU" w:eastAsia="en-US" w:bidi="ar-SA"/>
              </w:rPr>
              <w:t>Оценка и сопоставление заявок</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_Ref125362626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4.16</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3827" w:type="dxa"/>
            <w:tcBorders>
              <w:bottom w:val="single" w:sz="4" w:space="0" w:color="000000"/>
            </w:tcBorders>
            <w:vAlign w:val="center"/>
          </w:tcPr>
          <w:p>
            <w:pPr>
              <w:pStyle w:val="Style21"/>
              <w:widowControl w:val="false"/>
              <w:spacing w:before="40" w:after="40"/>
              <w:jc w:val="center"/>
              <w:rPr>
                <w:bCs/>
                <w:sz w:val="24"/>
                <w:szCs w:val="24"/>
              </w:rPr>
            </w:pPr>
            <w:r>
              <w:rPr>
                <w:rFonts w:eastAsia="Calibri"/>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_Ref149648944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4.17</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2269" w:type="dxa"/>
            <w:vMerge w:val="continue"/>
            <w:tcBorders/>
          </w:tcPr>
          <w:p>
            <w:pPr>
              <w:pStyle w:val="Style21"/>
              <w:widowControl w:val="false"/>
              <w:spacing w:before="40" w:after="40"/>
              <w:jc w:val="center"/>
              <w:rPr>
                <w:bCs/>
                <w:sz w:val="24"/>
                <w:szCs w:val="24"/>
              </w:rPr>
            </w:pPr>
            <w:r>
              <w:rPr>
                <w:bCs/>
                <w:sz w:val="24"/>
                <w:szCs w:val="24"/>
              </w:rPr>
            </w:r>
          </w:p>
        </w:tc>
        <w:tc>
          <w:tcPr>
            <w:tcW w:w="2235" w:type="dxa"/>
            <w:vMerge w:val="continue"/>
            <w:tcBorders>
              <w:right w:val="nil"/>
            </w:tcBorders>
          </w:tcPr>
          <w:p>
            <w:pPr>
              <w:pStyle w:val="Style21"/>
              <w:widowControl w:val="false"/>
              <w:spacing w:before="40" w:after="40"/>
              <w:jc w:val="center"/>
              <w:rPr>
                <w:bCs/>
                <w:sz w:val="24"/>
                <w:szCs w:val="24"/>
              </w:rPr>
            </w:pPr>
            <w:r>
              <w:rPr>
                <w:bCs/>
                <w:sz w:val="24"/>
                <w:szCs w:val="24"/>
              </w:rPr>
            </w:r>
          </w:p>
        </w:tc>
      </w:tr>
      <w:tr>
        <w:trPr>
          <w:trHeight w:val="982" w:hRule="atLeast"/>
        </w:trPr>
        <w:tc>
          <w:tcPr>
            <w:tcW w:w="372" w:type="dxa"/>
            <w:tcBorders>
              <w:top w:val="single" w:sz="4" w:space="0" w:color="000000"/>
              <w:left w:val="nil"/>
            </w:tcBorders>
            <w:vAlign w:val="bottom"/>
          </w:tcPr>
          <w:p>
            <w:pPr>
              <w:pStyle w:val="Style21"/>
              <w:widowControl w:val="false"/>
              <w:spacing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9130" w:type="dxa"/>
            <w:gridSpan w:val="3"/>
            <w:tcBorders>
              <w:top w:val="single" w:sz="4" w:space="0" w:color="000000"/>
            </w:tcBorders>
          </w:tcPr>
          <w:p>
            <w:pPr>
              <w:pStyle w:val="Style24"/>
              <w:widowControl w:val="false"/>
              <w:spacing w:before="60" w:after="60"/>
              <w:jc w:val="center"/>
              <w:rPr>
                <w:sz w:val="24"/>
                <w:szCs w:val="24"/>
              </w:rPr>
            </w:pPr>
            <w:r>
              <w:rPr>
                <w:sz w:val="24"/>
                <w:szCs w:val="24"/>
              </w:rPr>
            </w:r>
          </w:p>
          <w:p>
            <w:pPr>
              <w:pStyle w:val="Style21"/>
              <w:widowControl w:val="false"/>
              <w:spacing w:before="40" w:after="40"/>
              <w:jc w:val="center"/>
              <w:rPr>
                <w:bCs/>
                <w:sz w:val="24"/>
                <w:szCs w:val="24"/>
              </w:rPr>
            </w:pPr>
            <w:r>
              <w:rPr>
                <w:rFonts w:eastAsia="Calibri"/>
                <w:bCs/>
                <w:kern w:val="0"/>
                <w:sz w:val="24"/>
                <w:szCs w:val="24"/>
                <w:lang w:val="ru-RU" w:eastAsia="en-US" w:bidi="ar-SA"/>
              </w:rPr>
              <w:t>Предоставление преференций</w:t>
              <w:br/>
              <w:t>в части использования российского алюминия (подраздел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_Ref125640994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4.18</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p>
            <w:pPr>
              <w:pStyle w:val="Style21"/>
              <w:widowControl w:val="false"/>
              <w:spacing w:before="40" w:after="40"/>
              <w:jc w:val="center"/>
              <w:rPr>
                <w:bCs/>
                <w:sz w:val="24"/>
                <w:szCs w:val="24"/>
              </w:rPr>
            </w:pPr>
            <w:r>
              <w:rPr>
                <w:bCs/>
                <w:sz w:val="24"/>
                <w:szCs w:val="24"/>
              </w:rPr>
            </w:r>
          </w:p>
        </w:tc>
        <w:tc>
          <w:tcPr>
            <w:tcW w:w="2269" w:type="dxa"/>
            <w:vMerge w:val="continue"/>
            <w:tcBorders/>
          </w:tcPr>
          <w:p>
            <w:pPr>
              <w:pStyle w:val="Style21"/>
              <w:widowControl w:val="false"/>
              <w:spacing w:before="40" w:after="40"/>
              <w:jc w:val="center"/>
              <w:rPr>
                <w:bCs/>
                <w:sz w:val="24"/>
                <w:szCs w:val="24"/>
              </w:rPr>
            </w:pPr>
            <w:r>
              <w:rPr>
                <w:bCs/>
                <w:sz w:val="24"/>
                <w:szCs w:val="24"/>
              </w:rPr>
            </w:r>
          </w:p>
        </w:tc>
        <w:tc>
          <w:tcPr>
            <w:tcW w:w="2235" w:type="dxa"/>
            <w:vMerge w:val="continue"/>
            <w:tcBorders>
              <w:right w:val="nil"/>
            </w:tcBorders>
          </w:tcPr>
          <w:p>
            <w:pPr>
              <w:pStyle w:val="Style21"/>
              <w:widowControl w:val="false"/>
              <w:spacing w:before="40" w:after="40"/>
              <w:jc w:val="center"/>
              <w:rPr>
                <w:bCs/>
                <w:sz w:val="24"/>
                <w:szCs w:val="24"/>
              </w:rPr>
            </w:pPr>
            <w:r>
              <w:rPr>
                <w:bCs/>
                <w:sz w:val="24"/>
                <w:szCs w:val="24"/>
              </w:rPr>
            </w:r>
          </w:p>
        </w:tc>
      </w:tr>
      <w:tr>
        <w:trPr/>
        <w:tc>
          <w:tcPr>
            <w:tcW w:w="372" w:type="dxa"/>
            <w:tcBorders>
              <w:left w:val="nil"/>
              <w:bottom w:val="single" w:sz="4" w:space="0" w:color="000000"/>
            </w:tcBorders>
            <w:vAlign w:val="bottom"/>
          </w:tcPr>
          <w:p>
            <w:pPr>
              <w:pStyle w:val="Style21"/>
              <w:widowControl w:val="false"/>
              <w:spacing w:before="40" w:after="40"/>
              <w:jc w:val="center"/>
              <w:rPr>
                <w:bCs/>
                <w:sz w:val="24"/>
                <w:szCs w:val="24"/>
              </w:rPr>
            </w:pPr>
            <w:r>
              <w:rPr>
                <w:rFonts w:eastAsia="Wingdings 3" w:cs="Wingdings 3" w:ascii="Wingdings 3" w:hAnsi="Wingdings 3"/>
                <w:bCs/>
                <w:kern w:val="0"/>
                <w:sz w:val="24"/>
                <w:szCs w:val="24"/>
                <w:lang w:val="ru-RU" w:eastAsia="en-US" w:bidi="ar-SA"/>
              </w:rPr>
              <w:t>Ô</w:t>
            </w:r>
          </w:p>
        </w:tc>
        <w:tc>
          <w:tcPr>
            <w:tcW w:w="9130" w:type="dxa"/>
            <w:gridSpan w:val="3"/>
            <w:tcBorders>
              <w:bottom w:val="single" w:sz="4" w:space="0" w:color="000000"/>
            </w:tcBorders>
          </w:tcPr>
          <w:p>
            <w:pPr>
              <w:pStyle w:val="Style21"/>
              <w:widowControl w:val="false"/>
              <w:spacing w:before="40" w:after="40"/>
              <w:jc w:val="center"/>
              <w:rPr>
                <w:bCs/>
                <w:sz w:val="24"/>
                <w:szCs w:val="24"/>
              </w:rPr>
            </w:pPr>
            <w:r>
              <w:rPr>
                <w:rFonts w:eastAsia="Calibri"/>
                <w:bCs/>
                <w:kern w:val="0"/>
                <w:sz w:val="24"/>
                <w:szCs w:val="24"/>
                <w:lang w:val="ru-RU" w:eastAsia="en-US" w:bidi="ar-SA"/>
              </w:rPr>
              <w:t>Подведение итогов закупки</w:t>
              <w:br/>
              <w:t>(определение Победителя) (подраздел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_Ref125362658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4.19</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2269" w:type="dxa"/>
            <w:vMerge w:val="continue"/>
            <w:tcBorders/>
          </w:tcPr>
          <w:p>
            <w:pPr>
              <w:pStyle w:val="Style21"/>
              <w:widowControl w:val="false"/>
              <w:spacing w:before="40" w:after="40"/>
              <w:jc w:val="center"/>
              <w:rPr>
                <w:bCs/>
                <w:sz w:val="24"/>
                <w:szCs w:val="24"/>
              </w:rPr>
            </w:pPr>
            <w:r>
              <w:rPr>
                <w:bCs/>
                <w:sz w:val="24"/>
                <w:szCs w:val="24"/>
              </w:rPr>
            </w:r>
          </w:p>
        </w:tc>
        <w:tc>
          <w:tcPr>
            <w:tcW w:w="2235" w:type="dxa"/>
            <w:vMerge w:val="continue"/>
            <w:tcBorders>
              <w:right w:val="nil"/>
            </w:tcBorders>
          </w:tcPr>
          <w:p>
            <w:pPr>
              <w:pStyle w:val="Style21"/>
              <w:widowControl w:val="false"/>
              <w:spacing w:before="40" w:after="40"/>
              <w:jc w:val="center"/>
              <w:rPr>
                <w:bCs/>
                <w:sz w:val="24"/>
                <w:szCs w:val="24"/>
              </w:rPr>
            </w:pPr>
            <w:r>
              <w:rPr>
                <w:bCs/>
                <w:sz w:val="24"/>
                <w:szCs w:val="24"/>
              </w:rPr>
            </w:r>
          </w:p>
        </w:tc>
      </w:tr>
      <w:tr>
        <w:trPr/>
        <w:tc>
          <w:tcPr>
            <w:tcW w:w="372" w:type="dxa"/>
            <w:tcBorders>
              <w:left w:val="nil"/>
            </w:tcBorders>
            <w:vAlign w:val="bottom"/>
          </w:tcPr>
          <w:p>
            <w:pPr>
              <w:pStyle w:val="Style21"/>
              <w:widowControl w:val="false"/>
              <w:spacing w:before="40" w:after="40"/>
              <w:jc w:val="center"/>
              <w:rPr>
                <w:bCs/>
                <w:sz w:val="24"/>
                <w:szCs w:val="24"/>
              </w:rPr>
            </w:pPr>
            <w:r>
              <w:rPr>
                <w:rFonts w:eastAsia="Wingdings 3" w:cs="Wingdings 3" w:ascii="Wingdings 3" w:hAnsi="Wingdings 3"/>
                <w:bCs/>
                <w:kern w:val="0"/>
                <w:sz w:val="24"/>
                <w:szCs w:val="24"/>
                <w:u w:val="single"/>
                <w:lang w:val="ru-RU" w:eastAsia="en-US" w:bidi="ar-SA"/>
              </w:rPr>
              <w:t>Ô</w:t>
            </w:r>
          </w:p>
        </w:tc>
        <w:tc>
          <w:tcPr>
            <w:tcW w:w="5303" w:type="dxa"/>
            <w:gridSpan w:val="2"/>
            <w:tcBorders/>
          </w:tcPr>
          <w:p>
            <w:pPr>
              <w:pStyle w:val="Style21"/>
              <w:widowControl w:val="false"/>
              <w:spacing w:before="40" w:after="40"/>
              <w:jc w:val="center"/>
              <w:rPr>
                <w:bCs/>
                <w:sz w:val="24"/>
                <w:szCs w:val="24"/>
              </w:rPr>
            </w:pPr>
            <w:r>
              <w:rPr>
                <w:rFonts w:eastAsia="Calibri"/>
                <w:bCs/>
                <w:kern w:val="0"/>
                <w:sz w:val="24"/>
                <w:szCs w:val="24"/>
                <w:lang w:val="ru-RU" w:eastAsia="en-US" w:bidi="ar-SA"/>
              </w:rPr>
              <w:t>Заключение Договора</w:t>
              <w:br/>
              <w:t>(подраздел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_Ref138341423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5.2</w:t>
            </w:r>
            <w:r>
              <w:rPr>
                <w:sz w:val="24"/>
                <w:kern w:val="0"/>
                <w:szCs w:val="24"/>
                <w:bCs/>
                <w:rFonts w:eastAsia="Calibri"/>
                <w:lang w:val="ru-RU" w:eastAsia="en-US" w:bidi="ar-SA"/>
              </w:rPr>
              <w:fldChar w:fldCharType="end"/>
            </w:r>
            <w:r>
              <w:rPr>
                <w:rFonts w:eastAsia="Calibri"/>
                <w:bCs/>
                <w:kern w:val="0"/>
                <w:sz w:val="24"/>
                <w:szCs w:val="24"/>
                <w:lang w:val="ru-RU" w:eastAsia="en-US" w:bidi="ar-SA"/>
              </w:rPr>
              <w:t>)</w:t>
            </w:r>
          </w:p>
        </w:tc>
        <w:tc>
          <w:tcPr>
            <w:tcW w:w="8331" w:type="dxa"/>
            <w:gridSpan w:val="3"/>
            <w:tcBorders>
              <w:right w:val="nil"/>
            </w:tcBorders>
          </w:tcPr>
          <w:p>
            <w:pPr>
              <w:pStyle w:val="Style21"/>
              <w:widowControl w:val="false"/>
              <w:spacing w:before="40" w:after="40"/>
              <w:jc w:val="center"/>
              <w:rPr>
                <w:bCs/>
                <w:sz w:val="24"/>
                <w:szCs w:val="24"/>
              </w:rPr>
            </w:pPr>
            <w:r>
              <w:rPr>
                <w:rFonts w:eastAsia="Calibri"/>
                <w:bCs/>
                <w:kern w:val="0"/>
                <w:sz w:val="24"/>
                <w:szCs w:val="24"/>
                <w:lang w:val="ru-RU" w:eastAsia="en-US" w:bidi="ar-SA"/>
              </w:rPr>
              <w:t>Уклонение Победителя от заключения Договора (подраздел </w:t>
            </w:r>
            <w:r>
              <w:rPr>
                <w:rFonts w:eastAsia="Calibri"/>
                <w:bCs/>
                <w:kern w:val="0"/>
                <w:sz w:val="24"/>
                <w:szCs w:val="24"/>
                <w:lang w:val="ru-RU" w:eastAsia="en-US" w:bidi="ar-SA"/>
              </w:rPr>
              <w:fldChar w:fldCharType="begin"/>
            </w:r>
            <w:r>
              <w:rPr>
                <w:sz w:val="24"/>
                <w:kern w:val="0"/>
                <w:szCs w:val="24"/>
                <w:bCs/>
                <w:rFonts w:eastAsia="Calibri"/>
                <w:lang w:val="ru-RU" w:eastAsia="en-US" w:bidi="ar-SA"/>
              </w:rPr>
              <w:instrText xml:space="preserve"> REF _Ref125367068 \r \h </w:instrText>
            </w:r>
            <w:r>
              <w:rPr>
                <w:sz w:val="24"/>
                <w:kern w:val="0"/>
                <w:szCs w:val="24"/>
                <w:bCs/>
                <w:rFonts w:eastAsia="Calibri"/>
                <w:lang w:val="ru-RU" w:eastAsia="en-US" w:bidi="ar-SA"/>
              </w:rPr>
              <w:fldChar w:fldCharType="separate"/>
            </w:r>
            <w:r>
              <w:rPr>
                <w:sz w:val="24"/>
                <w:kern w:val="0"/>
                <w:szCs w:val="24"/>
                <w:bCs/>
                <w:rFonts w:eastAsia="Calibri"/>
                <w:lang w:val="ru-RU" w:eastAsia="en-US" w:bidi="ar-SA"/>
              </w:rPr>
              <w:t>5.3</w:t>
            </w:r>
            <w:r>
              <w:rPr>
                <w:sz w:val="24"/>
                <w:kern w:val="0"/>
                <w:szCs w:val="24"/>
                <w:bCs/>
                <w:rFonts w:eastAsia="Calibri"/>
                <w:lang w:val="ru-RU" w:eastAsia="en-US" w:bidi="ar-SA"/>
              </w:rPr>
              <w:fldChar w:fldCharType="end"/>
            </w:r>
            <w:r>
              <w:rPr>
                <w:rFonts w:eastAsia="Calibri"/>
                <w:bCs/>
                <w:kern w:val="0"/>
                <w:sz w:val="24"/>
                <w:szCs w:val="24"/>
                <w:lang w:val="ru-RU" w:eastAsia="en-US" w:bidi="ar-SA"/>
              </w:rPr>
              <w:t>)</w:t>
              <w:br/>
            </w:r>
            <w:r>
              <w:rPr>
                <w:rFonts w:eastAsia="Calibri"/>
                <w:bCs/>
                <w:i/>
                <w:iCs/>
                <w:kern w:val="0"/>
                <w:sz w:val="24"/>
                <w:szCs w:val="24"/>
                <w:lang w:val="ru-RU" w:eastAsia="en-US" w:bidi="ar-SA"/>
              </w:rPr>
              <w:t>(опциональная процедура закупки)</w:t>
            </w:r>
          </w:p>
        </w:tc>
      </w:tr>
    </w:tbl>
    <w:p>
      <w:pPr>
        <w:sectPr>
          <w:headerReference w:type="default" r:id="rId10"/>
          <w:headerReference w:type="first" r:id="rId11"/>
          <w:footerReference w:type="default" r:id="rId12"/>
          <w:footerReference w:type="first" r:id="rId13"/>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16"/>
        <w:rPr/>
      </w:pPr>
      <w:bookmarkStart w:id="110" w:name="_Ref130286532"/>
      <w:bookmarkStart w:id="111" w:name="_Toc228877210"/>
      <w:r>
        <w:rPr/>
        <w:t>Официальное размещение Извещения и Документации о закупке</w:t>
      </w:r>
      <w:bookmarkEnd w:id="110"/>
      <w:bookmarkEnd w:id="111"/>
    </w:p>
    <w:p>
      <w:pPr>
        <w:pStyle w:val="Style17"/>
        <w:rPr/>
      </w:pPr>
      <w:r>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17"/>
        <w:rPr/>
      </w:pPr>
      <w:r>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17"/>
        <w:rPr/>
      </w:pPr>
      <w:bookmarkStart w:id="112" w:name="_Ref125362785"/>
      <w:r>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12"/>
    </w:p>
    <w:p>
      <w:pPr>
        <w:pStyle w:val="Style17"/>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16"/>
        <w:rPr/>
      </w:pPr>
      <w:bookmarkStart w:id="113" w:name="_Ref130281199"/>
      <w:bookmarkStart w:id="114" w:name="_Ref130394681"/>
      <w:bookmarkStart w:id="115" w:name="_Toc228877211"/>
      <w:r>
        <w:rPr/>
        <w:t>Подготовка заявки</w:t>
      </w:r>
      <w:bookmarkEnd w:id="113"/>
      <w:bookmarkEnd w:id="114"/>
      <w:bookmarkEnd w:id="115"/>
    </w:p>
    <w:p>
      <w:pPr>
        <w:pStyle w:val="Style17"/>
        <w:rPr/>
      </w:pPr>
      <w:r>
        <w:rPr/>
        <w:t>Участник должен подготовить заявку с учетом требований Документации о закупке.</w:t>
      </w:r>
    </w:p>
    <w:p>
      <w:pPr>
        <w:pStyle w:val="Style17"/>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17"/>
        <w:rPr/>
      </w:pPr>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tgtFrame="#Прил06_СоставЗаявки">
        <w:r>
          <w:rPr>
            <w:rStyle w:val="Style5"/>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tgtFrame="#Прил04_ФормыЗаявки">
        <w:r>
          <w:rPr>
            <w:rStyle w:val="Style5"/>
          </w:rPr>
          <w:t>Приложение № 4</w:t>
        </w:r>
      </w:hyperlink>
      <w:r>
        <w:rPr/>
        <w:t>.</w:t>
      </w:r>
    </w:p>
    <w:p>
      <w:pPr>
        <w:pStyle w:val="Style17"/>
        <w:rPr/>
      </w:pPr>
      <w:r>
        <w:rPr/>
        <w:t xml:space="preserve">Непосредственно перед подачей заявки Участник должен разделить подготовленные документы на отдельные части: </w:t>
      </w:r>
      <w:bookmarkStart w:id="116" w:name="_Hlk132886098"/>
      <w:r>
        <w:rPr/>
        <w:t xml:space="preserve">первую часть и вторую часть </w:t>
      </w:r>
      <w:bookmarkEnd w:id="116"/>
      <w:r>
        <w:rPr/>
        <w:t xml:space="preserve">в соответствии с перечнем документов, входящих в каждую из частей, определенному </w:t>
      </w:r>
      <w:hyperlink w:anchor="Прил06_СоставЗаявки" w:tgtFrame="#Прил06_СоставЗаявки">
        <w:r>
          <w:rPr>
            <w:rStyle w:val="Style5"/>
          </w:rPr>
          <w:t>Приложением № 6 – Состав заявки</w:t>
        </w:r>
      </w:hyperlink>
      <w:r>
        <w:rPr/>
        <w:t>.</w:t>
      </w:r>
    </w:p>
    <w:p>
      <w:pPr>
        <w:pStyle w:val="Style17"/>
        <w:rPr/>
      </w:pPr>
      <w:r>
        <w:rPr/>
        <w:t>В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w:t>
      </w:r>
    </w:p>
    <w:p>
      <w:pPr>
        <w:pStyle w:val="Style17"/>
        <w:rPr/>
      </w:pPr>
      <w:r>
        <w:rPr/>
        <w:t>Во вторую часть заявки должны входить документы, содержащие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w:t>
      </w:r>
    </w:p>
    <w:p>
      <w:pPr>
        <w:pStyle w:val="Style17"/>
        <w:rPr/>
      </w:pPr>
      <w:r>
        <w:rP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pPr>
        <w:pStyle w:val="Style17"/>
        <w:rPr/>
      </w:pPr>
      <w:r>
        <w:rPr/>
        <w:t>В случае обнаружения в первой части заявки сведений об Участнике и (или) его ценовом предложении, такая заявка подлежит отклонению.</w:t>
      </w:r>
    </w:p>
    <w:p>
      <w:pPr>
        <w:pStyle w:val="Style17"/>
        <w:rPr/>
      </w:pPr>
      <w:bookmarkStart w:id="117" w:name="_Ref130394854"/>
      <w:bookmarkStart w:id="118" w:name="_Ref125365866"/>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заявки на часть лота и (или) при получении двух и более заявок от одного Участника в рамках одного лота) все поданные им заявки подлежат отклонению.</w:t>
      </w:r>
      <w:bookmarkEnd w:id="117"/>
      <w:bookmarkEnd w:id="118"/>
    </w:p>
    <w:p>
      <w:pPr>
        <w:pStyle w:val="Style17"/>
        <w:rPr/>
      </w:pPr>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tgtFrame="#Прил04_ФормыЗаявки">
        <w:r>
          <w:rPr>
            <w:rStyle w:val="Style5"/>
          </w:rPr>
          <w:t>Приложение № 4</w:t>
        </w:r>
      </w:hyperlink>
      <w:r>
        <w:rPr/>
        <w:t>) может служить основанием для отклонения заявки.</w:t>
      </w:r>
    </w:p>
    <w:p>
      <w:pPr>
        <w:pStyle w:val="Style17"/>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17"/>
        <w:rPr/>
      </w:pPr>
      <w:r>
        <w:rPr/>
        <w:t>Все суммы денежных средств в документах, входящих в состав заявки, в том числе в ценовое предложение,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17"/>
        <w:rPr/>
      </w:pPr>
      <w:bookmarkStart w:id="119" w:name="_Ref125370700"/>
      <w:bookmarkStart w:id="120" w:name="_Ref125370708"/>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17"/>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tgtFrame="#Прил01_ТехТребования">
        <w:r>
          <w:rPr>
            <w:rStyle w:val="Style5"/>
          </w:rPr>
          <w:t>Техническими требованиями (Приложение № 1)</w:t>
        </w:r>
      </w:hyperlink>
      <w:r>
        <w:rPr/>
        <w:t xml:space="preserve"> и </w:t>
      </w:r>
      <w:hyperlink w:anchor="Прил02_ПроектДоговора" w:tgtFrame="#Прил02_ПроектДоговора">
        <w:r>
          <w:rPr>
            <w:rStyle w:val="Style5"/>
          </w:rPr>
          <w:t>Проектом договора (Приложение № 2)</w:t>
        </w:r>
      </w:hyperlink>
      <w:r>
        <w:rPr/>
        <w:t>, а также сумму налогов (</w:t>
      </w:r>
      <w:r>
        <w:rPr>
          <w:rFonts w:cs="Times New Roman"/>
        </w:rPr>
        <w:t>за исключением НДС, в случае его уплаты</w:t>
      </w:r>
      <w:r>
        <w:rPr/>
        <w:t>)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19"/>
      <w:bookmarkEnd w:id="120"/>
    </w:p>
    <w:p>
      <w:pPr>
        <w:pStyle w:val="Style17"/>
        <w:rPr/>
      </w:pPr>
      <w:bookmarkStart w:id="121" w:name="_Ref130379863"/>
      <w:r>
        <w:rPr/>
        <w:t xml:space="preserve">Участник в составе заявки предоставляет по установленной форме Технического предложения (форма 4; </w:t>
      </w:r>
      <w:hyperlink w:anchor="Прил04_ФормыЗаявки" w:tgtFrame="#Прил04_ФормыЗаявки">
        <w:r>
          <w:rPr>
            <w:rStyle w:val="Style5"/>
          </w:rPr>
          <w:t>Приложение № 4</w:t>
        </w:r>
      </w:hyperlink>
      <w:r>
        <w:rPr/>
        <w:t xml:space="preserve">) подробное предложение в отношении поставляемой продукции на условиях, указанных в Документации о закупке, в том числе в </w:t>
      </w:r>
      <w:hyperlink w:anchor="Прил01_ТехТребования" w:tgtFrame="#Прил01_ТехТребования">
        <w:r>
          <w:rPr>
            <w:rStyle w:val="Style5"/>
          </w:rPr>
          <w:t>Технических требованиях (Приложение № 1)</w:t>
        </w:r>
      </w:hyperlink>
      <w:r>
        <w:rPr/>
        <w:t>.</w:t>
      </w:r>
      <w:bookmarkEnd w:id="121"/>
    </w:p>
    <w:p>
      <w:pPr>
        <w:pStyle w:val="Style17"/>
        <w:rPr/>
      </w:pPr>
      <w:r>
        <w:rP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tgtFrame="#Прил01_ТехТребования">
        <w:r>
          <w:rPr>
            <w:rStyle w:val="Style5"/>
          </w:rPr>
          <w:t>Технических требованиях (Приложение № 1)</w:t>
        </w:r>
      </w:hyperlink>
      <w:r>
        <w:rP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p>
    <w:p>
      <w:pPr>
        <w:pStyle w:val="Style17"/>
        <w:rPr/>
      </w:pPr>
      <w:r>
        <w:rPr/>
        <w:t xml:space="preserve">Если в </w:t>
      </w:r>
      <w:hyperlink w:anchor="Прил01_ТехТребования" w:tgtFrame="#Прил01_ТехТребования">
        <w:r>
          <w:rPr>
            <w:rStyle w:val="Style5"/>
          </w:rPr>
          <w:t>Технических требованиях (Приложение № 1)</w:t>
        </w:r>
      </w:hyperlink>
      <w:r>
        <w:rP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продукцию, являющуюся эквивалентом требуемой, то он при описании продукции обязан подтвердить соответствие предлагаемой продукции показателям эквивалентности, установленным в </w:t>
      </w:r>
      <w:hyperlink w:anchor="Прил01_ТехТребования" w:tgtFrame="#Прил01_ТехТребования">
        <w:r>
          <w:rPr>
            <w:rStyle w:val="Style5"/>
          </w:rPr>
          <w:t>Технических требованиях (Приложение № 1)</w:t>
        </w:r>
      </w:hyperlink>
      <w:r>
        <w:rPr/>
        <w:t>.</w:t>
      </w:r>
    </w:p>
    <w:p>
      <w:pPr>
        <w:pStyle w:val="Style17"/>
        <w:rPr/>
      </w:pPr>
      <w:bookmarkStart w:id="122" w:name="_Ref130379876"/>
      <w:r>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tgtFrame="#Прил01_ТехТребования">
        <w:r>
          <w:rPr>
            <w:rStyle w:val="Style5"/>
          </w:rPr>
          <w:t>Техническими требованиями (Приложение № 1)</w:t>
        </w:r>
      </w:hyperlink>
      <w:r>
        <w:rPr/>
        <w:t>.</w:t>
      </w:r>
      <w:bookmarkEnd w:id="122"/>
    </w:p>
    <w:p>
      <w:pPr>
        <w:pStyle w:val="Style17"/>
        <w:rPr/>
      </w:pPr>
      <w:bookmarkStart w:id="123" w:name="_Ref130455500"/>
      <w:r>
        <w:rPr/>
        <w:t>В случае нарушения Участником требований к описанию продукции (пункты </w:t>
      </w:r>
      <w:r>
        <w:rPr/>
        <w:fldChar w:fldCharType="begin"/>
      </w:r>
      <w:r>
        <w:rPr/>
        <w:instrText xml:space="preserve"> REF _Ref130379863 \r \h </w:instrText>
      </w:r>
      <w:r>
        <w:rPr/>
        <w:fldChar w:fldCharType="separate"/>
      </w:r>
      <w:r>
        <w:rPr/>
        <w:t>4.3.15</w:t>
      </w:r>
      <w:r>
        <w:rPr/>
        <w:fldChar w:fldCharType="end"/>
      </w:r>
      <w:r>
        <w:rPr/>
        <w:t xml:space="preserve"> – </w:t>
      </w:r>
      <w:r>
        <w:rPr/>
        <w:fldChar w:fldCharType="begin"/>
      </w:r>
      <w:r>
        <w:rPr/>
        <w:instrText xml:space="preserve"> REF _Ref130379876 \r \h </w:instrText>
      </w:r>
      <w:r>
        <w:rPr/>
        <w:fldChar w:fldCharType="separate"/>
      </w:r>
      <w:r>
        <w:rPr/>
        <w:t>4.3.18</w:t>
      </w:r>
      <w:r>
        <w:rPr/>
        <w:fldChar w:fldCharType="end"/>
      </w:r>
      <w:r>
        <w:rPr/>
        <w:t>) Организатор вправе отклонить заявку такого Участника от дальнейшего участия в закупке.</w:t>
      </w:r>
      <w:bookmarkEnd w:id="123"/>
    </w:p>
    <w:p>
      <w:pPr>
        <w:pStyle w:val="Style17"/>
        <w:keepNext w:val="true"/>
        <w:rPr/>
      </w:pPr>
      <w:r>
        <w:rPr/>
        <w:t>При подготовке заявки необходимо также учитывать требования в отношении применения законодательства о национальном режиме (подраздел </w:t>
      </w:r>
      <w:r>
        <w:rPr/>
        <w:fldChar w:fldCharType="begin"/>
      </w:r>
      <w:r>
        <w:rPr/>
        <w:instrText xml:space="preserve"> REF _Ref125359973 \r \h </w:instrText>
      </w:r>
      <w:r>
        <w:rPr/>
        <w:fldChar w:fldCharType="separate"/>
      </w:r>
      <w:r>
        <w:rPr/>
        <w:t>1.2</w:t>
      </w:r>
      <w:r>
        <w:rPr/>
        <w:fldChar w:fldCharType="end"/>
      </w:r>
      <w:r>
        <w:rPr/>
        <w:t>).</w:t>
      </w:r>
    </w:p>
    <w:p>
      <w:pPr>
        <w:pStyle w:val="Style17"/>
        <w:keepNext w:val="true"/>
        <w:rPr/>
      </w:pPr>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18"/>
        <w:rPr/>
      </w:pPr>
      <w:r>
        <w:rPr/>
        <w:t>внутренние противоречия между различными частями и (или) документами заявки, в том числе по тексту внутри одного документа;</w:t>
      </w:r>
    </w:p>
    <w:p>
      <w:pPr>
        <w:pStyle w:val="Style18"/>
        <w:rPr/>
      </w:pPr>
      <w:bookmarkStart w:id="124" w:name="_Ref125370398"/>
      <w:bookmarkStart w:id="125" w:name="_Ref125714384"/>
      <w:r>
        <w:rPr/>
        <w:t>противоречия между документами заявки и сведениями, указанными Участником в структурированных формах на ЭП.</w:t>
      </w:r>
      <w:bookmarkEnd w:id="124"/>
      <w:bookmarkEnd w:id="125"/>
    </w:p>
    <w:p>
      <w:pPr>
        <w:pStyle w:val="Style17"/>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18"/>
        <w:rPr/>
      </w:pPr>
      <w:r>
        <w:rPr/>
        <w:t>полномочий таких органов / лиц на оформление этих документов;</w:t>
      </w:r>
    </w:p>
    <w:p>
      <w:pPr>
        <w:pStyle w:val="Style18"/>
        <w:rPr/>
      </w:pPr>
      <w:r>
        <w:rPr/>
        <w:t>формы, объема и содержания этих документов.</w:t>
      </w:r>
    </w:p>
    <w:p>
      <w:pPr>
        <w:pStyle w:val="Style17"/>
        <w:keepNext w:val="true"/>
        <w:rPr/>
      </w:pPr>
      <w:r>
        <w:rPr/>
        <w:t>Участник должен подготовить заявку с соблюдением следующих условий:</w:t>
      </w:r>
    </w:p>
    <w:p>
      <w:pPr>
        <w:pStyle w:val="Style18"/>
        <w:rPr/>
      </w:pPr>
      <w:r>
        <w:rPr/>
        <w:t>документы заявки могут предоставляться как в графическом виде (в том числе в виде скан-копии, рекомендуемый формат: Portable Document Format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Письмо о подаче оферты, а также документы, выданные Участнику третьими лицами, которые должны быть предоставлены только в графическом виде (в том числе в виде скан-копии, рекомендуемый формат: Portable Document Format (*.</w:t>
      </w:r>
      <w:r>
        <w:rPr>
          <w:lang w:val="en-US"/>
        </w:rPr>
        <w:t>pdf</w:t>
      </w:r>
      <w:r>
        <w:rPr/>
        <w:t>));</w:t>
      </w:r>
    </w:p>
    <w:p>
      <w:pPr>
        <w:pStyle w:val="Style18"/>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18"/>
        <w:rPr/>
      </w:pPr>
      <w:r>
        <w:rPr/>
        <w:t>все файлы не должны иметь защиты от их открытия, изменения, копирования их содержимого или их печати;</w:t>
      </w:r>
    </w:p>
    <w:p>
      <w:pPr>
        <w:pStyle w:val="Style18"/>
        <w:rPr/>
      </w:pPr>
      <w:r>
        <w:rPr/>
        <w:t>файлы электронной заявки рекомендуется именовать так, чтобы можно было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18"/>
        <w:rPr/>
      </w:pPr>
      <w:r>
        <w:rPr/>
        <w:t>если какой-либо документ представлен в нечитаемом виде, данный документ считается непредставленным.</w:t>
      </w:r>
    </w:p>
    <w:p>
      <w:pPr>
        <w:pStyle w:val="Style17"/>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16"/>
        <w:rPr/>
      </w:pPr>
      <w:bookmarkStart w:id="126" w:name="_Ref130394205"/>
      <w:bookmarkStart w:id="127" w:name="_Ref130394785"/>
      <w:bookmarkStart w:id="128" w:name="_Ref130394802"/>
      <w:bookmarkStart w:id="129" w:name="_Toc228877212"/>
      <w:bookmarkStart w:id="130" w:name="_Ref125361260"/>
      <w:bookmarkStart w:id="131" w:name="_Ref125362071"/>
      <w:bookmarkStart w:id="132" w:name="_Ref125366672"/>
      <w:r>
        <w:rPr/>
        <w:t>Разъяснение Документации о закупке</w:t>
      </w:r>
      <w:bookmarkEnd w:id="126"/>
      <w:bookmarkEnd w:id="127"/>
      <w:bookmarkEnd w:id="128"/>
      <w:bookmarkEnd w:id="129"/>
      <w:bookmarkEnd w:id="130"/>
      <w:bookmarkEnd w:id="131"/>
      <w:bookmarkEnd w:id="132"/>
    </w:p>
    <w:p>
      <w:pPr>
        <w:pStyle w:val="Style17"/>
        <w:rPr/>
      </w:pPr>
      <w:r>
        <w:rPr/>
        <w:t>Участники вправе обратиться к Организатору за разъяснениями Документации о закупке.</w:t>
      </w:r>
    </w:p>
    <w:p>
      <w:pPr>
        <w:pStyle w:val="Style17"/>
        <w:rPr/>
      </w:pPr>
      <w:r>
        <w:rPr/>
        <w:t>Запросы подаются в соответствии с Регламентами и инструкциями Оператора ЭП, опубликованными на сайте соответствующей ЭП.</w:t>
      </w:r>
    </w:p>
    <w:p>
      <w:pPr>
        <w:pStyle w:val="Style17"/>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17"/>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17"/>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17"/>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tgtFrame="#Прил02_ПроектДоговора">
        <w:r>
          <w:rPr>
            <w:rStyle w:val="Style5"/>
          </w:rPr>
          <w:t>Проекта договора (Приложения № 2)</w:t>
        </w:r>
      </w:hyperlink>
      <w:r>
        <w:rPr>
          <w:rStyle w:val="Style5"/>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17"/>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16"/>
        <w:rPr/>
      </w:pPr>
      <w:bookmarkStart w:id="133" w:name="_Ref125362076"/>
      <w:bookmarkStart w:id="134" w:name="_Ref125363891"/>
      <w:bookmarkStart w:id="135" w:name="_Ref125364404"/>
      <w:bookmarkStart w:id="136" w:name="_Toc228877213"/>
      <w:r>
        <w:rPr/>
        <w:t>Изменения Извещения и (или) Документации о закупке</w:t>
      </w:r>
      <w:bookmarkEnd w:id="133"/>
      <w:bookmarkEnd w:id="134"/>
      <w:bookmarkEnd w:id="135"/>
      <w:bookmarkEnd w:id="136"/>
    </w:p>
    <w:p>
      <w:pPr>
        <w:pStyle w:val="Style17"/>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17"/>
        <w:keepNext w:val="true"/>
        <w:rPr/>
      </w:pPr>
      <w:r>
        <w:rPr/>
        <w:t>После окончания срока подачи заявок допускается изменение только в части установленных Документацией о закупке дат (</w:t>
      </w:r>
      <w:bookmarkStart w:id="137" w:name="_Hlk149650101"/>
      <w:r>
        <w:rPr/>
        <w:t>и если необходимо времени</w:t>
      </w:r>
      <w:bookmarkEnd w:id="137"/>
      <w:r>
        <w:rPr/>
        <w:t>):</w:t>
      </w:r>
    </w:p>
    <w:p>
      <w:pPr>
        <w:pStyle w:val="Style18"/>
        <w:rPr/>
      </w:pPr>
      <w:r>
        <w:rPr/>
        <w:t>рассмотрения первых частей заявок;</w:t>
      </w:r>
    </w:p>
    <w:p>
      <w:pPr>
        <w:pStyle w:val="Style18"/>
        <w:rPr/>
      </w:pPr>
      <w:r>
        <w:rPr/>
        <w:t>проведения аукциона;</w:t>
      </w:r>
    </w:p>
    <w:p>
      <w:pPr>
        <w:pStyle w:val="Style18"/>
        <w:rPr/>
      </w:pPr>
      <w:r>
        <w:rPr/>
        <w:t>рассмотрения вторых частей заявок;</w:t>
      </w:r>
    </w:p>
    <w:p>
      <w:pPr>
        <w:pStyle w:val="Style18"/>
        <w:rPr/>
      </w:pPr>
      <w:r>
        <w:rPr/>
        <w:t>подведения итогов закупки;</w:t>
      </w:r>
    </w:p>
    <w:p>
      <w:pPr>
        <w:pStyle w:val="Style21"/>
        <w:ind w:left="1134" w:hanging="0"/>
        <w:rPr/>
      </w:pPr>
      <w:bookmarkStart w:id="138" w:name="_Ref125550844"/>
      <w:r>
        <w:rPr/>
        <w:t>в пределах срока действия заявок и с уведомлением Участников, подавших заявки.</w:t>
      </w:r>
      <w:bookmarkEnd w:id="138"/>
    </w:p>
    <w:p>
      <w:pPr>
        <w:pStyle w:val="Style17"/>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17"/>
        <w:rPr/>
      </w:pPr>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w:t>
      </w:r>
    </w:p>
    <w:p>
      <w:pPr>
        <w:pStyle w:val="Style18"/>
        <w:rPr/>
      </w:pPr>
      <w:r>
        <w:rPr/>
        <w:t>4 (четырех) календарных дней, если НМЦ закупки (подраздел </w:t>
      </w:r>
      <w:r>
        <w:rPr/>
        <w:fldChar w:fldCharType="begin"/>
      </w:r>
      <w:r>
        <w:rPr/>
        <w:instrText xml:space="preserve"> REF _Ref125359973 \r \h </w:instrText>
      </w:r>
      <w:r>
        <w:rPr/>
        <w:fldChar w:fldCharType="separate"/>
      </w:r>
      <w:r>
        <w:rPr/>
        <w:t>1.2</w:t>
      </w:r>
      <w:r>
        <w:rPr/>
        <w:fldChar w:fldCharType="end"/>
      </w:r>
      <w:r>
        <w:rPr/>
        <w:t>) не превышает 30 000 000 (тридцать миллионов) рублей без НДС;</w:t>
      </w:r>
    </w:p>
    <w:p>
      <w:pPr>
        <w:pStyle w:val="Style18"/>
        <w:rPr/>
      </w:pPr>
      <w:r>
        <w:rPr/>
        <w:t>8 (восьми) календарных дней, если НМЦ закупки (подраздел </w:t>
      </w:r>
      <w:r>
        <w:rPr/>
        <w:fldChar w:fldCharType="begin"/>
      </w:r>
      <w:r>
        <w:rPr/>
        <w:instrText xml:space="preserve"> REF _Ref125359973 \r \h </w:instrText>
      </w:r>
      <w:r>
        <w:rPr/>
        <w:fldChar w:fldCharType="separate"/>
      </w:r>
      <w:r>
        <w:rPr/>
        <w:t>1.2</w:t>
      </w:r>
      <w:r>
        <w:rPr/>
        <w:fldChar w:fldCharType="end"/>
      </w:r>
      <w:r>
        <w:rPr/>
        <w:t>) превышает 30 000 000 (тридцать миллионов) рублей без НДС.</w:t>
      </w:r>
    </w:p>
    <w:p>
      <w:pPr>
        <w:pStyle w:val="Style17"/>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16"/>
        <w:rPr/>
      </w:pPr>
      <w:bookmarkStart w:id="139" w:name="_Ref125362119"/>
      <w:bookmarkStart w:id="140" w:name="_Toc228877214"/>
      <w:r>
        <w:rPr/>
        <w:t>Подача заявок и их прием</w:t>
      </w:r>
      <w:bookmarkEnd w:id="139"/>
      <w:bookmarkEnd w:id="140"/>
    </w:p>
    <w:p>
      <w:pPr>
        <w:pStyle w:val="Style17"/>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При этом первая и вторая части заявок подаются Участниками одновременно. Заявки, поданные позднее установленного срока, не могут быть приняты Организатором, независимо от причин опоздания. Ценовые предложения Участниками вместе с заявкой не подаются – порядок подачи ценового предложения в рамках процедуры аукциона установлен в подразделе </w:t>
      </w:r>
      <w:r>
        <w:rPr/>
        <w:fldChar w:fldCharType="begin"/>
      </w:r>
      <w:r>
        <w:rPr/>
        <w:instrText xml:space="preserve"> REF _Ref149650136 \r \h </w:instrText>
      </w:r>
      <w:r>
        <w:rPr/>
        <w:fldChar w:fldCharType="separate"/>
      </w:r>
      <w:r>
        <w:rPr/>
        <w:t>4.10</w:t>
      </w:r>
      <w:r>
        <w:rPr/>
        <w:fldChar w:fldCharType="end"/>
      </w:r>
      <w:r>
        <w:rPr/>
        <w:t>.</w:t>
      </w:r>
    </w:p>
    <w:p>
      <w:pPr>
        <w:pStyle w:val="Style17"/>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17"/>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17"/>
        <w:rPr/>
      </w:pPr>
      <w:r>
        <w:rPr/>
        <w:t xml:space="preserve">Заявка должна быть подписана </w:t>
      </w:r>
      <w:bookmarkStart w:id="141" w:name="_Hlk219296949"/>
      <w:r>
        <w:rPr/>
        <w:t xml:space="preserve">усиленной квалифицированной </w:t>
      </w:r>
      <w:bookmarkEnd w:id="141"/>
      <w:r>
        <w:rPr/>
        <w:t>электронной подписью лица, которое является уполномоченным представителем Участника.</w:t>
      </w:r>
    </w:p>
    <w:p>
      <w:pPr>
        <w:pStyle w:val="Style17"/>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17"/>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17"/>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16"/>
        <w:rPr/>
      </w:pPr>
      <w:bookmarkStart w:id="142" w:name="_Ref125362130"/>
      <w:bookmarkStart w:id="143" w:name="_Ref125362192"/>
      <w:bookmarkStart w:id="144" w:name="_Ref125363819"/>
      <w:bookmarkStart w:id="145" w:name="_Ref125365136"/>
      <w:bookmarkStart w:id="146" w:name="_Toc228877215"/>
      <w:r>
        <w:rPr/>
        <w:t>Изменение и отзыв заявок</w:t>
      </w:r>
      <w:bookmarkEnd w:id="142"/>
      <w:bookmarkEnd w:id="143"/>
      <w:bookmarkEnd w:id="144"/>
      <w:bookmarkEnd w:id="145"/>
      <w:bookmarkEnd w:id="146"/>
    </w:p>
    <w:p>
      <w:pPr>
        <w:pStyle w:val="Style17"/>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17"/>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17"/>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17"/>
        <w:rPr/>
      </w:pPr>
      <w:r>
        <w:rPr/>
        <w:t>Изменения и отзыв заявки осуществляется посредством функционала ЭП (подробный порядок определяется Регламентом ЭП).</w:t>
      </w:r>
    </w:p>
    <w:p>
      <w:pPr>
        <w:pStyle w:val="Style16"/>
        <w:rPr/>
      </w:pPr>
      <w:bookmarkStart w:id="147" w:name="_Ref132816188"/>
      <w:bookmarkStart w:id="148" w:name="_Toc228877216"/>
      <w:r>
        <w:rPr/>
        <w:t>Открытие доступа к первым частям заявок</w:t>
      </w:r>
      <w:bookmarkEnd w:id="147"/>
      <w:bookmarkEnd w:id="148"/>
    </w:p>
    <w:p>
      <w:pPr>
        <w:pStyle w:val="Style17"/>
        <w:rPr/>
      </w:pPr>
      <w:bookmarkStart w:id="149" w:name="_Hlk149310876"/>
      <w:r>
        <w:rPr/>
        <w:t>Оператор ЭП направляет в адрес Организатора первые части заявок в срок не позднее 1 (одного) дня, следующего за днем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bookmarkEnd w:id="149"/>
    </w:p>
    <w:p>
      <w:pPr>
        <w:pStyle w:val="Style17"/>
        <w:rPr/>
      </w:pPr>
      <w:bookmarkStart w:id="150" w:name="_Hlk149310910"/>
      <w:r>
        <w:rPr/>
        <w:t>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Оператор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в первых частях заявок, от Участников такой закупки.</w:t>
      </w:r>
      <w:bookmarkEnd w:id="150"/>
    </w:p>
    <w:p>
      <w:pPr>
        <w:pStyle w:val="Style16"/>
        <w:rPr/>
      </w:pPr>
      <w:bookmarkStart w:id="151" w:name="_Ref125362364"/>
      <w:bookmarkStart w:id="152" w:name="_Ref125366689"/>
      <w:bookmarkStart w:id="153" w:name="_Toc228877217"/>
      <w:r>
        <w:rPr/>
        <w:t>Рассмотрение первых частей заявок (отборочная стадия)</w:t>
      </w:r>
      <w:bookmarkEnd w:id="151"/>
      <w:bookmarkEnd w:id="152"/>
      <w:bookmarkEnd w:id="153"/>
    </w:p>
    <w:p>
      <w:pPr>
        <w:pStyle w:val="Style17"/>
        <w:rPr/>
      </w:pPr>
      <w:r>
        <w:rPr/>
        <w:t>Дата окончания срока рассмотрения первых частей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17"/>
        <w:rPr/>
      </w:pPr>
      <w:r>
        <w:rPr/>
        <w:t xml:space="preserve">В рамках рассмотрения первых частей заявок (отборочной стадии) осуществляется проверка каждой заявки на предмет соответствия </w:t>
      </w:r>
      <w:hyperlink w:anchor="Прил07_ОтборочныеКритерии" w:tgtFrame="#Прил07_ОтборочныеКритерии">
        <w:r>
          <w:rPr>
            <w:rStyle w:val="Style5"/>
          </w:rPr>
          <w:t>Отборочным критериям рассмотрения заявок (Приложение № 7)</w:t>
        </w:r>
      </w:hyperlink>
      <w:r>
        <w:rPr/>
        <w:t>.</w:t>
      </w:r>
    </w:p>
    <w:p>
      <w:pPr>
        <w:pStyle w:val="Style17"/>
        <w:rPr/>
      </w:pPr>
      <w:r>
        <w:rPr/>
        <w:t>Рассмотрение первых частей заявок проводится на основании представленных в составе заявки документов и сведений.</w:t>
      </w:r>
    </w:p>
    <w:p>
      <w:pPr>
        <w:pStyle w:val="Style17"/>
        <w:keepNext w:val="true"/>
        <w:rPr/>
      </w:pPr>
      <w:bookmarkStart w:id="154" w:name="_Ref125551456"/>
      <w:r>
        <w:rPr/>
        <w:t>По результатам рассмотрения первых частей заявок (проведения отборочной стадии) Закупочная комиссия отклоняет заявки по следующим основаниям:</w:t>
      </w:r>
      <w:bookmarkEnd w:id="154"/>
    </w:p>
    <w:p>
      <w:pPr>
        <w:pStyle w:val="Style18"/>
        <w:rPr/>
      </w:pPr>
      <w:r>
        <w:rPr/>
        <w:t>несоответствие первой части заявки по составу</w:t>
      </w:r>
      <w:r>
        <w:rPr>
          <w:rStyle w:val="FootnoteReference"/>
        </w:rPr>
        <w:footnoteReference w:id="4"/>
      </w:r>
      <w:r>
        <w:rPr/>
        <w:t>, содержанию и соблюдению требований Документации о закупке к подготовке (оформлению) заявки, в том числе наличие:</w:t>
      </w:r>
    </w:p>
    <w:p>
      <w:pPr>
        <w:pStyle w:val="Style19"/>
        <w:rPr/>
      </w:pPr>
      <w:r>
        <w:rPr/>
        <w:t>недостоверных сведений или намеренно искаженной информации или документов;</w:t>
      </w:r>
    </w:p>
    <w:p>
      <w:pPr>
        <w:pStyle w:val="Style19"/>
        <w:rPr/>
      </w:pPr>
      <w:r>
        <w:rPr/>
        <w:t>внутренних противоречий между различными частями и (или) документами первой части заявки, в том числе по тексту внутри одного документа;</w:t>
      </w:r>
    </w:p>
    <w:p>
      <w:pPr>
        <w:pStyle w:val="Style18"/>
        <w:rPr/>
      </w:pPr>
      <w:r>
        <w:rPr/>
        <w:t>несоответствие предлагаемой продукции требованиям Документации о закупке, в том числе порядка описания такой продукции;</w:t>
      </w:r>
    </w:p>
    <w:p>
      <w:pPr>
        <w:pStyle w:val="Style18"/>
        <w:rPr/>
      </w:pPr>
      <w:r>
        <w:rPr/>
        <w:t>несоответствие предлагаемых договорных условий требованиям Документации о закупке;</w:t>
      </w:r>
    </w:p>
    <w:p>
      <w:pPr>
        <w:pStyle w:val="Style18"/>
        <w:rPr/>
      </w:pPr>
      <w:r>
        <w:rPr/>
        <w:t>наличие в документах первой части заявки сведений об Участники и (или) о его ценовом предложении.</w:t>
      </w:r>
    </w:p>
    <w:p>
      <w:pPr>
        <w:pStyle w:val="Style17"/>
        <w:keepNext w:val="true"/>
        <w:rPr/>
      </w:pPr>
      <w:r>
        <w:rPr/>
        <w:t>Решение Закупочной комиссии по рассмотрению первых частей заявок оформляется протоколом, в котором, как минимум, указываются</w:t>
      </w:r>
      <w:r>
        <w:rPr>
          <w:rStyle w:val="FootnoteReference"/>
        </w:rPr>
        <w:footnoteReference w:id="5"/>
      </w:r>
      <w:r>
        <w:rPr/>
        <w:t>:</w:t>
      </w:r>
    </w:p>
    <w:p>
      <w:pPr>
        <w:pStyle w:val="Style18"/>
        <w:rPr/>
      </w:pPr>
      <w:r>
        <w:rPr/>
        <w:t>дата подписания протокола;</w:t>
      </w:r>
    </w:p>
    <w:p>
      <w:pPr>
        <w:pStyle w:val="Style18"/>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18"/>
        <w:rPr/>
      </w:pPr>
      <w:r>
        <w:rPr/>
        <w:t>идентификационные номера, присваиваемые Оператором ЭП;</w:t>
      </w:r>
    </w:p>
    <w:p>
      <w:pPr>
        <w:pStyle w:val="Style18"/>
        <w:keepNext w:val="true"/>
        <w:rPr/>
      </w:pPr>
      <w:r>
        <w:rPr/>
        <w:t>результаты рассмотрения первых частей заявок с указанием, в том числе:</w:t>
      </w:r>
    </w:p>
    <w:p>
      <w:pPr>
        <w:pStyle w:val="Style19"/>
        <w:rPr/>
      </w:pPr>
      <w:r>
        <w:rPr/>
        <w:t>количества заявок, которые были отклонены по результатам рассмотрения первых частей заявок;</w:t>
      </w:r>
    </w:p>
    <w:p>
      <w:pPr>
        <w:pStyle w:val="Style19"/>
        <w:rPr/>
      </w:pPr>
      <w:r>
        <w:rPr/>
        <w:t>оснований отклонения каждой заявки с указанием положений Документации о закупке, которым не соответствует первая часть такой заявка;</w:t>
      </w:r>
    </w:p>
    <w:p>
      <w:pPr>
        <w:pStyle w:val="Style18"/>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4.20</w:t>
      </w:r>
      <w:r>
        <w:rPr/>
        <w:fldChar w:fldCharType="end"/>
      </w:r>
      <w:r>
        <w:rPr/>
        <w:t xml:space="preserve"> (в случае ее признания таковой).</w:t>
      </w:r>
    </w:p>
    <w:p>
      <w:pPr>
        <w:pStyle w:val="Style17"/>
        <w:rPr/>
      </w:pPr>
      <w:r>
        <w:rPr/>
        <w:t>Протокол рассмотрения первых частей заявок направляется Организатором Оператору ЭП не позднее 3 (трех) календарных дней с даты подписания такого протокола, но в любом случае до начала проведения аукциона;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16"/>
        <w:rPr/>
      </w:pPr>
      <w:bookmarkStart w:id="155" w:name="_Ref149649965"/>
      <w:bookmarkStart w:id="156" w:name="_Ref149650136"/>
      <w:bookmarkStart w:id="157" w:name="_Toc228877218"/>
      <w:r>
        <w:rPr/>
        <w:t>Проведение аукциона</w:t>
      </w:r>
      <w:bookmarkEnd w:id="155"/>
      <w:bookmarkEnd w:id="156"/>
      <w:bookmarkEnd w:id="157"/>
    </w:p>
    <w:p>
      <w:pPr>
        <w:pStyle w:val="Style17"/>
        <w:rPr/>
      </w:pPr>
      <w:r>
        <w:rPr/>
        <w:t>Процедура аукциона проводится на ЭП в порядке, предусмотренном настоящим подразделом и Регламентом ЭП.</w:t>
      </w:r>
    </w:p>
    <w:p>
      <w:pPr>
        <w:pStyle w:val="Style17"/>
        <w:rPr/>
      </w:pPr>
      <w:r>
        <w:rPr/>
        <w:t>Оператор ЭП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ЭП порядка на протяжении всего срока проведения аукциона.</w:t>
      </w:r>
    </w:p>
    <w:p>
      <w:pPr>
        <w:pStyle w:val="Style17"/>
        <w:rPr/>
      </w:pPr>
      <w:r>
        <w:rPr/>
        <w:t>В аукционе могут участвовать только Участники, заявки которых были признаны Закупочной комиссией соответствующими по результатам рассмотрения первых частей заявок (подраздел </w:t>
      </w:r>
      <w:r>
        <w:rPr/>
        <w:fldChar w:fldCharType="begin"/>
      </w:r>
      <w:r>
        <w:rPr/>
        <w:instrText xml:space="preserve"> REF _Ref125362364 \r \h </w:instrText>
      </w:r>
      <w:r>
        <w:rPr/>
        <w:fldChar w:fldCharType="separate"/>
      </w:r>
      <w:r>
        <w:rPr/>
        <w:t>4.9</w:t>
      </w:r>
      <w:r>
        <w:rPr/>
        <w:fldChar w:fldCharType="end"/>
      </w:r>
      <w:r>
        <w:rPr/>
        <w:t>).</w:t>
      </w:r>
    </w:p>
    <w:p>
      <w:pPr>
        <w:pStyle w:val="Style17"/>
        <w:rPr/>
      </w:pPr>
      <w:r>
        <w:rPr/>
        <w:t>Дата и время проведения аукциона установлены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их, официально разместив информацию об этом.</w:t>
      </w:r>
    </w:p>
    <w:p>
      <w:pPr>
        <w:pStyle w:val="Style17"/>
        <w:rPr/>
      </w:pPr>
      <w:r>
        <w:rPr/>
        <w:t>Аукцион проводится путем снижения НМЦ, а затем текущей минимальной ценовой ставки – на произвольную величину в пределах «шага аукциона» (подраздел </w:t>
      </w:r>
      <w:r>
        <w:rPr/>
        <w:fldChar w:fldCharType="begin"/>
      </w:r>
      <w:r>
        <w:rPr/>
        <w:instrText xml:space="preserve"> REF _Ref125359973 \r \h </w:instrText>
      </w:r>
      <w:r>
        <w:rPr/>
        <w:fldChar w:fldCharType="separate"/>
      </w:r>
      <w:r>
        <w:rPr/>
        <w:t>1.2</w:t>
      </w:r>
      <w:r>
        <w:rPr/>
        <w:fldChar w:fldCharType="end"/>
      </w:r>
      <w:r>
        <w:rPr/>
        <w:t xml:space="preserve">). </w:t>
      </w:r>
      <w:bookmarkStart w:id="158" w:name="_Hlk149642663"/>
      <w:r>
        <w:rPr/>
        <w:t>Снижение стоимости заявки на величину, меньше «шага аукциона», не допускается.</w:t>
      </w:r>
      <w:bookmarkEnd w:id="158"/>
      <w:r>
        <w:rPr/>
        <w:t xml:space="preserve"> Снижение стоимости заявки на величину, превышающую «шаг аукциона», не допускается.</w:t>
      </w:r>
    </w:p>
    <w:p>
      <w:pPr>
        <w:pStyle w:val="Style17"/>
        <w:rPr/>
      </w:pPr>
      <w:r>
        <w:rPr/>
        <w:t>Аукцион проводится однократно,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 за исключением случая, когда предыдущая ценовая ставка была сделана этим же Участником.</w:t>
      </w:r>
    </w:p>
    <w:p>
      <w:pPr>
        <w:pStyle w:val="Style17"/>
        <w:rPr/>
      </w:pPr>
      <w:r>
        <w:rPr/>
        <w:t>Участники подают ценовые ставки анонимно для других Участников под присвоенными им Оператором ЭП идентификационными номерами.</w:t>
      </w:r>
    </w:p>
    <w:p>
      <w:pPr>
        <w:pStyle w:val="Style17"/>
        <w:rPr/>
      </w:pPr>
      <w:r>
        <w:rPr/>
        <w:t>При проведении аукциона Оператором ЭП устанавливается время приема ценовых ставок Участников до окончания аукциона. Если в течение указанного времени, а также 10 (десяти) минут после поступления последней ценовой ставки ни одной более низкой ценовой ставки не поступило, процедура аукциона автоматически завершается с помощью программных и технических средств ЭП.</w:t>
      </w:r>
    </w:p>
    <w:p>
      <w:pPr>
        <w:pStyle w:val="Style17"/>
        <w:rPr/>
      </w:pPr>
      <w:r>
        <w:rPr/>
        <w:t>Каждая новая ценовая ставка Участника должна быть меньше предыдущей, а также не должна равняться нулю. Изменение стоимости заявки, предлагаемой Участником в процессе проведения аукциона, не должно повлечь за собой изменение иных условий заявки, в том числе отклонения (в сторону ухудшения) от требований, условий Заказчика, описанных в Документации о закупке, коммерческих интересов Заказчика.</w:t>
      </w:r>
    </w:p>
    <w:p>
      <w:pPr>
        <w:pStyle w:val="Style17"/>
        <w:rPr/>
      </w:pPr>
      <w:r>
        <w:rPr/>
        <w:t>Если в ходе аукциона стоимость заявки снижена до нуля, ход аукциона на понижение стоимости автоматически, без изменения состава Участников, переходит на повышение стоимости заявки.</w:t>
      </w:r>
    </w:p>
    <w:p>
      <w:pPr>
        <w:pStyle w:val="Style17"/>
        <w:rPr/>
      </w:pPr>
      <w:bookmarkStart w:id="159" w:name="_Ref149645598"/>
      <w:r>
        <w:rPr/>
        <w:t xml:space="preserve">Участники, принявшие участие в процедуре аукциона, обязаны в течение 1 (одного) рабочего дня после завершения аукциона разместить на ЭП полный комплект документов, входящих в ценовое предложение согласно перечню, определенному </w:t>
      </w:r>
      <w:hyperlink w:anchor="Прил06_СоставЗаявки" w:tgtFrame="#Прил06_СоставЗаявки">
        <w:r>
          <w:rPr>
            <w:rStyle w:val="Style5"/>
          </w:rPr>
          <w:t>Приложением № 6 – Состав заявки</w:t>
        </w:r>
      </w:hyperlink>
      <w:r>
        <w:rPr/>
        <w:t>, в соответствии с заявленной им в ходе проведения аукциона ценовой ставкой.</w:t>
      </w:r>
      <w:bookmarkEnd w:id="159"/>
    </w:p>
    <w:p>
      <w:pPr>
        <w:pStyle w:val="Style17"/>
        <w:rPr/>
      </w:pPr>
      <w:r>
        <w:rPr/>
        <w:t>Участники, которые не приняли участие в процедуре аукциона (не подали ни одного предложения по снижению стоимости заявки – ценовой ставки), считаются не подавшими ценовые предложения, и заявки таких Участников отклоняются на этапе рассмотрения вторых частей заявок (подраздел </w:t>
      </w:r>
      <w:r>
        <w:rPr/>
        <w:fldChar w:fldCharType="begin"/>
      </w:r>
      <w:r>
        <w:rPr/>
        <w:instrText xml:space="preserve"> REF _Ref132797154 \r \h </w:instrText>
      </w:r>
      <w:r>
        <w:rPr/>
        <w:fldChar w:fldCharType="separate"/>
      </w:r>
      <w:r>
        <w:rPr/>
        <w:t>4.12</w:t>
      </w:r>
      <w:r>
        <w:rPr/>
        <w:fldChar w:fldCharType="end"/>
      </w:r>
      <w:r>
        <w:rPr/>
        <w:t>).</w:t>
      </w:r>
    </w:p>
    <w:p>
      <w:pPr>
        <w:pStyle w:val="Style16"/>
        <w:rPr/>
      </w:pPr>
      <w:bookmarkStart w:id="160" w:name="_Ref132801184"/>
      <w:bookmarkStart w:id="161" w:name="_Toc228877219"/>
      <w:r>
        <w:rPr/>
        <w:t>Открытие доступа ко вторым частям заявок</w:t>
      </w:r>
      <w:bookmarkEnd w:id="160"/>
      <w:bookmarkEnd w:id="161"/>
    </w:p>
    <w:p>
      <w:pPr>
        <w:pStyle w:val="Style17"/>
        <w:rPr/>
      </w:pPr>
      <w:bookmarkStart w:id="162" w:name="_Hlk149645475"/>
      <w:r>
        <w:rPr/>
        <w:t>Оператор ЭП в срок, установленный в подразделе </w:t>
      </w:r>
      <w:r>
        <w:rPr/>
        <w:fldChar w:fldCharType="begin"/>
      </w:r>
      <w:r>
        <w:rPr/>
        <w:instrText xml:space="preserve"> REF _Ref125359973 \r \h </w:instrText>
      </w:r>
      <w:r>
        <w:rPr/>
        <w:fldChar w:fldCharType="separate"/>
      </w:r>
      <w:r>
        <w:rPr/>
        <w:t>1.2</w:t>
      </w:r>
      <w:r>
        <w:rPr/>
        <w:fldChar w:fldCharType="end"/>
      </w:r>
      <w:r>
        <w:rPr/>
        <w:t>, направляет в адрес Организатора вторые части заявок Участников, которые приняли участие в процедуре аукциона.</w:t>
      </w:r>
      <w:bookmarkEnd w:id="162"/>
    </w:p>
    <w:p>
      <w:pPr>
        <w:pStyle w:val="Style17"/>
        <w:rPr/>
      </w:pPr>
      <w:r>
        <w:rPr/>
        <w:t>Срок направления Оператором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 а также даты и времени окончания процедуры аукциона – подачи Участниками ценовых предложений.</w:t>
      </w:r>
    </w:p>
    <w:p>
      <w:pPr>
        <w:pStyle w:val="Style17"/>
        <w:rPr/>
      </w:pPr>
      <w:r>
        <w:rPr/>
        <w:t>Подробные правила открытия Организатору доступа ко вторым частям заявок определяются Регламентом ЭП, с использованием которой проводится закупка. Оператор ЭП обеспечивает конфиденциальность сведений содержащихся во вторых частях заявок Участников такой закупки.</w:t>
      </w:r>
    </w:p>
    <w:p>
      <w:pPr>
        <w:pStyle w:val="Style16"/>
        <w:rPr/>
      </w:pPr>
      <w:bookmarkStart w:id="163" w:name="_Ref132797154"/>
      <w:bookmarkStart w:id="164" w:name="_Toc228877220"/>
      <w:r>
        <w:rPr/>
        <w:t>Рассмотрение вторых частей заявок (отборочная стадия), в том числе (при необходимости) проведение аккредитации</w:t>
      </w:r>
      <w:bookmarkEnd w:id="163"/>
      <w:bookmarkEnd w:id="164"/>
    </w:p>
    <w:p>
      <w:pPr>
        <w:pStyle w:val="Style17"/>
        <w:rPr/>
      </w:pPr>
      <w:r>
        <w:rPr/>
        <w:t>Дата окончания срока рассмотрения вторых частей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17"/>
        <w:rPr/>
      </w:pPr>
      <w:r>
        <w:rPr/>
        <w:t xml:space="preserve">В рамках рассмотрения вторых частей заявок (отборочной стадии) осуществляется проверка каждой заявки, не отклоненной по результатам рассмотрения первых частей заявок, на предмет соответствия </w:t>
      </w:r>
      <w:hyperlink w:anchor="Прил07_ОтборочныеКритерии" w:tgtFrame="#Прил07_ОтборочныеКритерии">
        <w:r>
          <w:rPr>
            <w:rStyle w:val="Style5"/>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17"/>
        <w:rPr/>
      </w:pPr>
      <w:r>
        <w:rPr/>
        <w:t>Рассмотрение вторых частей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17"/>
        <w:keepNext w:val="true"/>
        <w:rPr/>
      </w:pPr>
      <w:bookmarkStart w:id="165" w:name="_Ref132793926"/>
      <w:r>
        <w:rPr/>
        <w:t>По результатам рассмотрения вторых частей заявок (проведения отборочной стадии) Закупочная комиссия отклоняет заявки по следующим основаниям:</w:t>
      </w:r>
      <w:bookmarkEnd w:id="165"/>
    </w:p>
    <w:p>
      <w:pPr>
        <w:pStyle w:val="Style18"/>
        <w:rPr/>
      </w:pPr>
      <w:r>
        <w:rPr/>
        <w:t>несоответствие второй части заявки по составу, содержанию и соблюдению требований Документации о закупке к подготовке (оформлению) заявки, в том числе наличие:</w:t>
      </w:r>
    </w:p>
    <w:p>
      <w:pPr>
        <w:pStyle w:val="Style19"/>
        <w:rPr/>
      </w:pPr>
      <w:r>
        <w:rPr/>
        <w:t>недостоверных сведений или намеренно искаженной информации или документов;</w:t>
      </w:r>
    </w:p>
    <w:p>
      <w:pPr>
        <w:pStyle w:val="Style19"/>
        <w:rPr/>
      </w:pPr>
      <w:r>
        <w:rPr/>
        <w:t>внутренних противоречий между различными частями и (или) документами второй части заявки, в том числе по тексту внутри одного документа;</w:t>
      </w:r>
    </w:p>
    <w:p>
      <w:pPr>
        <w:pStyle w:val="Style18"/>
        <w:rPr/>
      </w:pPr>
      <w:r>
        <w:rPr/>
        <w:t>несоответствие предлагаемой продукции требованиям Документации о закупке, с учетом представленных во второй части заявки соответствующих подтверждающих документов;</w:t>
      </w:r>
    </w:p>
    <w:p>
      <w:pPr>
        <w:pStyle w:val="Style18"/>
        <w:rPr/>
      </w:pPr>
      <w:r>
        <w:rPr/>
        <w:t>несоответствие Участников требованиям Документации о закупке;</w:t>
      </w:r>
    </w:p>
    <w:p>
      <w:pPr>
        <w:pStyle w:val="Style18"/>
        <w:rPr/>
      </w:pPr>
      <w:r>
        <w:rPr/>
        <w:t>несоответствие привлекаемых субподрядчиков (соисполнителей) требованиям Документации о закупке;</w:t>
      </w:r>
    </w:p>
    <w:p>
      <w:pPr>
        <w:pStyle w:val="Style18"/>
        <w:rPr/>
      </w:pPr>
      <w:r>
        <w:rPr/>
        <w:t>отсутствие поданного Участником ценового предложения в связи с тем, что он не принял участие в процедуре аукциона (не подал ни одного предложения по снижению стоимости заявки – ценовой ставки).</w:t>
      </w:r>
    </w:p>
    <w:p>
      <w:pPr>
        <w:pStyle w:val="Style17"/>
        <w:keepNext w:val="true"/>
        <w:rPr/>
      </w:pPr>
      <w:r>
        <w:rPr/>
        <w:t>Решение Закупочной комиссии по рассмотрению вторых частей заявок оформляется протоколом, в котором, как минимум, указываются</w:t>
      </w:r>
      <w:r>
        <w:rPr>
          <w:rStyle w:val="FootnoteReference"/>
        </w:rPr>
        <w:footnoteReference w:id="6"/>
      </w:r>
      <w:r>
        <w:rPr/>
        <w:t>:</w:t>
      </w:r>
    </w:p>
    <w:p>
      <w:pPr>
        <w:pStyle w:val="Style18"/>
        <w:rPr/>
      </w:pPr>
      <w:r>
        <w:rPr/>
        <w:t>дата подписания протокола;</w:t>
      </w:r>
    </w:p>
    <w:p>
      <w:pPr>
        <w:pStyle w:val="Style18"/>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18"/>
        <w:rPr/>
      </w:pPr>
      <w:r>
        <w:rPr/>
        <w:t>наименования Участников, заявки которых не были отклонены по результатам рассмотрения первых частей заявок, и (или) их идентификационные номера, присваиваемые Оператором ЭП, с указанием стоимости такой заявки (цены Договора), полученной по результатам процедуры аукциона;</w:t>
      </w:r>
    </w:p>
    <w:p>
      <w:pPr>
        <w:pStyle w:val="Style18"/>
        <w:keepNext w:val="true"/>
        <w:rPr/>
      </w:pPr>
      <w:r>
        <w:rPr/>
        <w:t>результаты рассмотрения вторых частей заявок с указанием, в том числе:</w:t>
      </w:r>
    </w:p>
    <w:p>
      <w:pPr>
        <w:pStyle w:val="Style19"/>
        <w:rPr/>
      </w:pPr>
      <w:r>
        <w:rPr/>
        <w:t>количества заявок, которые были отклонены по результатам рассмотрения вторых частей заявок;</w:t>
      </w:r>
    </w:p>
    <w:p>
      <w:pPr>
        <w:pStyle w:val="Style19"/>
        <w:rPr/>
      </w:pPr>
      <w:r>
        <w:rPr/>
        <w:t>оснований отклонения каждой заявки с указанием положений Документации о закупке, которым не соответствует вторая часть такой заявка;</w:t>
      </w:r>
    </w:p>
    <w:p>
      <w:pPr>
        <w:pStyle w:val="Style18"/>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4.20</w:t>
      </w:r>
      <w:r>
        <w:rPr/>
        <w:fldChar w:fldCharType="end"/>
      </w:r>
      <w:r>
        <w:rPr/>
        <w:t xml:space="preserve"> (в случае ее признания таковой).</w:t>
      </w:r>
    </w:p>
    <w:p>
      <w:pPr>
        <w:pStyle w:val="Style17"/>
        <w:rPr/>
      </w:pPr>
      <w:r>
        <w:rPr/>
        <w:t>Протокол рассмотрения вторых частей заявок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16"/>
        <w:rPr/>
      </w:pPr>
      <w:bookmarkStart w:id="166" w:name="_Ref149656136"/>
      <w:bookmarkStart w:id="167" w:name="_Toc228877221"/>
      <w:r>
        <w:rPr/>
        <w:t>Открытие доступа к ценовым предложениям</w:t>
      </w:r>
      <w:bookmarkEnd w:id="166"/>
      <w:bookmarkEnd w:id="167"/>
    </w:p>
    <w:p>
      <w:pPr>
        <w:pStyle w:val="Style17"/>
        <w:rPr/>
      </w:pPr>
      <w:r>
        <w:rPr/>
        <w:t>Оператор ЭП, после официального размещения протокола рассмотрения вторых частей заявок, направляет в адрес Организатора ценовые предложения, поданные Участниками в соответствии с пунктом </w:t>
      </w:r>
      <w:r>
        <w:rPr/>
        <w:fldChar w:fldCharType="begin"/>
      </w:r>
      <w:r>
        <w:rPr/>
        <w:instrText xml:space="preserve"> REF _Ref149645598 \r \h </w:instrText>
      </w:r>
      <w:r>
        <w:rPr/>
        <w:fldChar w:fldCharType="separate"/>
      </w:r>
      <w:r>
        <w:rPr/>
        <w:t>4.10.11</w:t>
      </w:r>
      <w:r>
        <w:rPr/>
        <w:fldChar w:fldCharType="end"/>
      </w:r>
      <w:r>
        <w:rPr/>
        <w:t>, с указанием информации о наименовании всех Участников, подавших ценовые предложения в рамках участия в процедуре аукциона.</w:t>
      </w:r>
    </w:p>
    <w:p>
      <w:pPr>
        <w:pStyle w:val="Style17"/>
        <w:rPr/>
      </w:pPr>
      <w:r>
        <w:rPr/>
        <w:t>Подробные правила открытия Организатору доступа ко ценовым предложениям определяются Регламентом ЭП, с использованием которой проводится закупка.</w:t>
      </w:r>
    </w:p>
    <w:p>
      <w:pPr>
        <w:pStyle w:val="Style16"/>
        <w:rPr/>
      </w:pPr>
      <w:bookmarkStart w:id="168" w:name="_Ref149656148"/>
      <w:bookmarkStart w:id="169" w:name="_Toc228877222"/>
      <w:r>
        <w:rPr/>
        <w:t>Рассмотрение ценовых предложений (отборочная стадия)</w:t>
      </w:r>
      <w:bookmarkEnd w:id="168"/>
      <w:bookmarkEnd w:id="169"/>
    </w:p>
    <w:p>
      <w:pPr>
        <w:pStyle w:val="Style17"/>
        <w:rPr/>
      </w:pPr>
      <w:r>
        <w:rPr/>
        <w:t xml:space="preserve">В рамках рассмотрения ценовых предложений (отборочной стадии) осуществляется проверка заявок Участников, принявших участие в процедуре аукциона, на предмет соответствия </w:t>
      </w:r>
      <w:hyperlink w:anchor="Прил07_ОтборочныеКритерии" w:tgtFrame="#Прил07_ОтборочныеКритерии">
        <w:r>
          <w:rPr>
            <w:rStyle w:val="Style5"/>
          </w:rPr>
          <w:t>Отборочным критериям рассмотрения заявок (Приложение № 7)</w:t>
        </w:r>
      </w:hyperlink>
      <w:r>
        <w:rPr/>
        <w:t>.</w:t>
      </w:r>
    </w:p>
    <w:p>
      <w:pPr>
        <w:pStyle w:val="Style17"/>
        <w:keepNext w:val="true"/>
        <w:rPr/>
      </w:pPr>
      <w:bookmarkStart w:id="170" w:name="_Ref224835330"/>
      <w:r>
        <w:rPr/>
        <w:t>При выявлении в рамках рассмотрения ценовых предложений наличия арифметических ошибок, в том числе:</w:t>
      </w:r>
      <w:bookmarkEnd w:id="170"/>
    </w:p>
    <w:p>
      <w:pPr>
        <w:pStyle w:val="Style18"/>
        <w:rPr/>
      </w:pPr>
      <w:r>
        <w:rPr/>
        <w:t>в результате суммирования единичных расценок;</w:t>
      </w:r>
    </w:p>
    <w:p>
      <w:pPr>
        <w:pStyle w:val="Style18"/>
        <w:rPr/>
      </w:pPr>
      <w:r>
        <w:rPr/>
        <w:t>в итогах умножения единичных расценок на объем продукции;</w:t>
      </w:r>
    </w:p>
    <w:p>
      <w:pPr>
        <w:pStyle w:val="Style18"/>
        <w:rPr/>
      </w:pPr>
      <w:r>
        <w:rPr/>
        <w:t>в вычислении суммы НДС и итоговой стоимости заявки с учетом НДС;</w:t>
      </w:r>
    </w:p>
    <w:p>
      <w:pPr>
        <w:pStyle w:val="Style18"/>
        <w:rPr/>
      </w:pPr>
      <w:r>
        <w:rPr/>
        <w:t>иных внутренних противоречий в составе заявки,</w:t>
      </w:r>
    </w:p>
    <w:p>
      <w:pPr>
        <w:pStyle w:val="Style21"/>
        <w:ind w:left="1134" w:hanging="0"/>
        <w:rPr/>
      </w:pPr>
      <w:r>
        <w:rPr/>
        <w:t>Организатор исходит из преимущества общей итоговой стоимости (без учета НДС), указанной в структурированных формах на ЭП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17"/>
        <w:keepNext w:val="true"/>
        <w:rPr/>
      </w:pPr>
      <w:bookmarkStart w:id="171" w:name="_Ref224835414"/>
      <w:r>
        <w:rPr/>
        <w:t>По результатам рассмотрения ценовых предложений (проведения отборочной стадии) Закупочная комиссия отклоняет заявки по следующим основаниям:</w:t>
      </w:r>
      <w:bookmarkEnd w:id="171"/>
    </w:p>
    <w:p>
      <w:pPr>
        <w:pStyle w:val="Style18"/>
        <w:keepNext w:val="true"/>
        <w:rPr/>
      </w:pPr>
      <w:r>
        <w:rPr/>
        <w:t>несоответствие ценового предложения Участника по составу, содержанию и соблюдению требований Документации о закупке, в том числе наличие:</w:t>
      </w:r>
    </w:p>
    <w:p>
      <w:pPr>
        <w:pStyle w:val="Style19"/>
        <w:rPr/>
      </w:pPr>
      <w:r>
        <w:rPr/>
        <w:t>недостоверных сведений или намеренно искаженной информации или документов;</w:t>
      </w:r>
    </w:p>
    <w:p>
      <w:pPr>
        <w:pStyle w:val="Style19"/>
        <w:rPr/>
      </w:pPr>
      <w:r>
        <w:rPr/>
        <w:t xml:space="preserve">внутренних противоречий между различными частями и (или) документами заявки, в том числе по тексту внутри одного документа (за исключением ошибок, предусмотренных пунктом </w:t>
      </w:r>
      <w:r>
        <w:rPr/>
        <w:fldChar w:fldCharType="begin"/>
      </w:r>
      <w:r>
        <w:rPr/>
        <w:instrText xml:space="preserve"> REF _Ref224835330 \r \h </w:instrText>
      </w:r>
      <w:r>
        <w:rPr/>
        <w:fldChar w:fldCharType="separate"/>
      </w:r>
      <w:r>
        <w:rPr/>
        <w:t>4.14.2</w:t>
      </w:r>
      <w:r>
        <w:rPr/>
        <w:fldChar w:fldCharType="end"/>
      </w:r>
      <w:r>
        <w:rPr/>
        <w:t>);</w:t>
      </w:r>
    </w:p>
    <w:p>
      <w:pPr>
        <w:pStyle w:val="Style18"/>
        <w:rPr/>
      </w:pPr>
      <w:bookmarkStart w:id="172" w:name="_Hlk209699544"/>
      <w:r>
        <w:rPr/>
        <w:t>несоответствие ценового предложения Участника (которое могло быть выявлено только на данном этапе закупки) законодательству о национальном режиме (подраздел </w:t>
      </w:r>
      <w:r>
        <w:rPr/>
        <w:fldChar w:fldCharType="begin"/>
      </w:r>
      <w:r>
        <w:rPr/>
        <w:instrText xml:space="preserve"> REF _Ref186183588 \r \h </w:instrText>
      </w:r>
      <w:r>
        <w:rPr/>
        <w:fldChar w:fldCharType="separate"/>
      </w:r>
      <w:r>
        <w:rPr/>
        <w:t>4.17</w:t>
      </w:r>
      <w:r>
        <w:rPr/>
        <w:fldChar w:fldCharType="end"/>
      </w:r>
      <w:r>
        <w:rPr/>
        <w:t>).</w:t>
      </w:r>
      <w:bookmarkEnd w:id="172"/>
    </w:p>
    <w:p>
      <w:pPr>
        <w:pStyle w:val="Style17"/>
        <w:rPr/>
      </w:pPr>
      <w:r>
        <w:rPr/>
        <w:t>Решение Закупочной комиссии по рассмотрению ценовых предложений Участников вносится в итоговый протокол по результатам закупки.</w:t>
      </w:r>
    </w:p>
    <w:p>
      <w:pPr>
        <w:pStyle w:val="Style16"/>
        <w:rPr/>
      </w:pPr>
      <w:bookmarkStart w:id="173" w:name="_Ref125362381"/>
      <w:bookmarkStart w:id="174" w:name="_Ref125362425"/>
      <w:bookmarkStart w:id="175" w:name="_Ref125362464"/>
      <w:bookmarkStart w:id="176" w:name="_Ref125362610"/>
      <w:bookmarkStart w:id="177" w:name="_Toc228877223"/>
      <w:r>
        <w:rPr/>
        <w:t>Дополнительные запросы разъяснений заявок</w:t>
      </w:r>
      <w:bookmarkEnd w:id="173"/>
      <w:bookmarkEnd w:id="174"/>
      <w:bookmarkEnd w:id="175"/>
      <w:bookmarkEnd w:id="176"/>
      <w:bookmarkEnd w:id="177"/>
    </w:p>
    <w:p>
      <w:pPr>
        <w:pStyle w:val="Style17"/>
        <w:rPr/>
      </w:pPr>
      <w:bookmarkStart w:id="178" w:name="_Ref125365611"/>
      <w:r>
        <w:rPr/>
        <w:t>В рамках процедуры рассмотрения заявок (первых частей заявок, вторых частей заявок и ценовых предложений)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78"/>
    </w:p>
    <w:p>
      <w:pPr>
        <w:pStyle w:val="Style18"/>
        <w:keepNext w:val="true"/>
        <w:rPr/>
      </w:pPr>
      <w:r>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p>
    <w:p>
      <w:pPr>
        <w:pStyle w:val="Style19"/>
        <w:rPr/>
      </w:pPr>
      <w:r>
        <w:rPr/>
        <w:t>соответствия Участника требованиям Документации о закупке;</w:t>
      </w:r>
    </w:p>
    <w:p>
      <w:pPr>
        <w:pStyle w:val="Style19"/>
        <w:rPr/>
      </w:pPr>
      <w:bookmarkStart w:id="179" w:name="_Hlk132793683"/>
      <w:r>
        <w:rPr/>
        <w:t>наличия соответствующих полномочий на подписание заявки от имени Участника у лица, подписавшего заявку</w:t>
      </w:r>
      <w:bookmarkEnd w:id="179"/>
      <w:r>
        <w:rPr/>
        <w:t>;</w:t>
      </w:r>
    </w:p>
    <w:p>
      <w:pPr>
        <w:pStyle w:val="Style19"/>
        <w:rPr/>
      </w:pPr>
      <w:r>
        <w:rPr/>
        <w:t>соответствия заявки требованиям Документации о закупке в части характеристик предлагаемой продукции, страны происхождения товара и (или) страны регистрации Участника (в целях исполнения требований законодательства о национальном режиме (подраздел </w:t>
      </w:r>
      <w:r>
        <w:rPr/>
        <w:fldChar w:fldCharType="begin"/>
      </w:r>
      <w:r>
        <w:rPr/>
        <w:instrText xml:space="preserve"> REF _Ref186183588 \r \h </w:instrText>
      </w:r>
      <w:r>
        <w:rPr/>
        <w:fldChar w:fldCharType="separate"/>
      </w:r>
      <w:r>
        <w:rPr/>
        <w:t>4.17</w:t>
      </w:r>
      <w:r>
        <w:rPr/>
        <w:fldChar w:fldCharType="end"/>
      </w:r>
      <w:r>
        <w:rPr/>
        <w:t>)), и договорных условий, расчета цены Договора;</w:t>
      </w:r>
    </w:p>
    <w:p>
      <w:pPr>
        <w:pStyle w:val="Style18"/>
        <w:rPr/>
      </w:pPr>
      <w:bookmarkStart w:id="180" w:name="_Ref135033677"/>
      <w:r>
        <w:rP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pPr>
        <w:pStyle w:val="Style18"/>
        <w:rPr/>
      </w:pPr>
      <w:r>
        <w:rPr/>
        <w:t>в заявке (в какой-либо ее части)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7"/>
      </w:r>
      <w:r>
        <w:rPr/>
        <w:t>) требованиям Документации о закупке или осуществить оценку и сопоставление заявок.</w:t>
      </w:r>
      <w:bookmarkEnd w:id="180"/>
    </w:p>
    <w:p>
      <w:pPr>
        <w:pStyle w:val="Style17"/>
        <w:rPr/>
      </w:pPr>
      <w:r>
        <w:rPr/>
        <w:t>Если в рамках рассмотрения заявок (вторых частей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_Ref135033677 \r \h </w:instrText>
      </w:r>
      <w:r>
        <w:rPr/>
        <w:fldChar w:fldCharType="separate"/>
      </w:r>
      <w:r>
        <w:rPr/>
        <w:t>4.15.1б)</w:t>
      </w:r>
      <w:r>
        <w:rPr/>
        <w:fldChar w:fldCharType="end"/>
      </w:r>
      <w:r>
        <w:rPr/>
        <w:t>).</w:t>
      </w:r>
    </w:p>
    <w:p>
      <w:pPr>
        <w:pStyle w:val="Style17"/>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17"/>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17"/>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пунктами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4.12.4</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4.15.1</w:t>
      </w:r>
      <w:r>
        <w:rPr/>
        <w:fldChar w:fldCharType="end"/>
      </w:r>
      <w:r>
        <w:rPr/>
        <w:t>.</w:t>
      </w:r>
    </w:p>
    <w:p>
      <w:pPr>
        <w:pStyle w:val="Style17"/>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17"/>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17"/>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пунктов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4.12.4</w:t>
      </w:r>
      <w:r>
        <w:rPr/>
        <w:fldChar w:fldCharType="end"/>
      </w:r>
      <w:r>
        <w:rPr/>
        <w:t>.</w:t>
      </w:r>
    </w:p>
    <w:p>
      <w:pPr>
        <w:pStyle w:val="Style16"/>
        <w:rPr/>
      </w:pPr>
      <w:bookmarkStart w:id="181" w:name="_Ref125362626"/>
      <w:bookmarkStart w:id="182" w:name="_Ref125365335"/>
      <w:bookmarkStart w:id="183" w:name="_Ref125365519"/>
      <w:bookmarkStart w:id="184" w:name="_Ref125366534"/>
      <w:bookmarkStart w:id="185" w:name="_Ref125369041"/>
      <w:bookmarkStart w:id="186" w:name="_Ref125369308"/>
      <w:bookmarkStart w:id="187" w:name="_Toc228877224"/>
      <w:r>
        <w:rPr/>
        <w:t>Оценка и сопоставление заявок</w:t>
      </w:r>
      <w:bookmarkEnd w:id="181"/>
      <w:bookmarkEnd w:id="182"/>
      <w:bookmarkEnd w:id="183"/>
      <w:bookmarkEnd w:id="184"/>
      <w:bookmarkEnd w:id="185"/>
      <w:bookmarkEnd w:id="186"/>
      <w:bookmarkEnd w:id="187"/>
    </w:p>
    <w:p>
      <w:pPr>
        <w:pStyle w:val="Style17"/>
        <w:rPr/>
      </w:pPr>
      <w:r>
        <w:rPr/>
        <w:t xml:space="preserve">Оценка, признанных Закупочной комиссией соответствующими по результатам рассмотрения заявок (первых частей заявок, вторых частей заявок и ценовых предложений) осуществляется в соответствии с </w:t>
      </w:r>
      <w:hyperlink w:anchor="Прил08_ПорядокОценки" w:tgtFrame="#Прил08_ПорядокОценки">
        <w:r>
          <w:rPr>
            <w:rStyle w:val="Style5"/>
          </w:rPr>
          <w:t>Порядком и критериями оценки и сопоставления заявок (Приложение № 8)</w:t>
        </w:r>
      </w:hyperlink>
      <w:r>
        <w:rPr/>
        <w:t>, то есть:</w:t>
      </w:r>
    </w:p>
    <w:p>
      <w:pPr>
        <w:pStyle w:val="Style18"/>
        <w:rPr/>
      </w:pPr>
      <w:r>
        <w:rPr/>
        <w:t>в соответствии с единственным ценовым критерием оценки (критерием выбора Победителя) – стоимость заявки (цена Договора);</w:t>
      </w:r>
    </w:p>
    <w:p>
      <w:pPr>
        <w:pStyle w:val="Style18"/>
        <w:rPr/>
      </w:pPr>
      <w:r>
        <w:rPr/>
        <w:t>в едином базисе без учета НДС.</w:t>
      </w:r>
    </w:p>
    <w:p>
      <w:pPr>
        <w:pStyle w:val="Style17"/>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_Ref149648944 \r \h </w:instrText>
      </w:r>
      <w:r>
        <w:rPr/>
        <w:fldChar w:fldCharType="separate"/>
      </w:r>
      <w:r>
        <w:rPr/>
        <w:t>4.17</w:t>
      </w:r>
      <w:r>
        <w:rPr/>
        <w:fldChar w:fldCharType="end"/>
      </w:r>
      <w:r>
        <w:rPr/>
        <w:t>).</w:t>
      </w:r>
    </w:p>
    <w:p>
      <w:pPr>
        <w:pStyle w:val="Style17"/>
        <w:rPr/>
      </w:pPr>
      <w:r>
        <w:rPr/>
        <w:t>По результатам оценки заявок Закупочная комиссия в течение 1 (одного) рабочего дня осуществляет их сопоставление – ранжирует все соответствующие по результатам рассмотрения заявки по мере повышения их стоимости (цены Договора). При этом первое место в ранжировке присваивается заявке с наименьшей стоимостью заявки</w:t>
      </w:r>
      <w:r>
        <w:rPr>
          <w:rStyle w:val="FootnoteReference"/>
        </w:rPr>
        <w:footnoteReference w:id="8"/>
      </w:r>
      <w:r>
        <w:rPr/>
        <w:t>.</w:t>
      </w:r>
    </w:p>
    <w:p>
      <w:pPr>
        <w:pStyle w:val="Style17"/>
        <w:rPr/>
      </w:pPr>
      <w:r>
        <w:rPr/>
        <w:t>При предоставлении преференции продукции, изготовленной с использованием российского алюминия и (или) алюминиевых полуфабрикатов, оценка и сопоставление заявок осуществляется с учетом применения преференций в порядке, предусмотренном подразделом </w:t>
      </w:r>
      <w:r>
        <w:rPr/>
        <w:fldChar w:fldCharType="begin"/>
      </w:r>
      <w:r>
        <w:rPr/>
        <w:instrText xml:space="preserve"> REF _Ref125641102 \w \h </w:instrText>
      </w:r>
      <w:r>
        <w:rPr/>
        <w:fldChar w:fldCharType="separate"/>
      </w:r>
      <w:r>
        <w:rPr/>
        <w:t>4.18</w:t>
      </w:r>
      <w:r>
        <w:rPr/>
        <w:fldChar w:fldCharType="end"/>
      </w:r>
      <w:r>
        <w:rPr/>
        <w:t>.</w:t>
      </w:r>
    </w:p>
    <w:p>
      <w:pPr>
        <w:pStyle w:val="Style17"/>
        <w:rPr/>
      </w:pPr>
      <w:bookmarkStart w:id="188" w:name="_Ref130985951"/>
      <w:bookmarkEnd w:id="188"/>
      <w:r>
        <w:rPr/>
        <w:t>Результаты оценки и сопоставления заявок указываются в итоговом протоколе по результатам закупки.</w:t>
      </w:r>
    </w:p>
    <w:p>
      <w:pPr>
        <w:pStyle w:val="Style16"/>
        <w:rPr/>
      </w:pPr>
      <w:bookmarkStart w:id="189" w:name="_Ref186183588"/>
      <w:bookmarkStart w:id="190" w:name="_Ref149648944"/>
      <w:bookmarkStart w:id="191" w:name="_Toc228877225"/>
      <w:bookmarkStart w:id="192" w:name="_Ref132816300"/>
      <w:bookmarkEnd w:id="192"/>
      <w:r>
        <w:rPr/>
        <w:t>Применение законодательства о национальном режиме</w:t>
      </w:r>
      <w:bookmarkEnd w:id="189"/>
      <w:bookmarkEnd w:id="190"/>
      <w:bookmarkEnd w:id="191"/>
    </w:p>
    <w:p>
      <w:pPr>
        <w:pStyle w:val="Style17"/>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17"/>
        <w:rPr/>
      </w:pPr>
      <w:bookmarkStart w:id="193" w:name="_Ref195007394"/>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(подразделы </w:t>
      </w:r>
      <w:r>
        <w:rPr/>
        <w:fldChar w:fldCharType="begin"/>
      </w:r>
      <w:r>
        <w:rPr/>
        <w:instrText xml:space="preserve"> REF _Ref132797154 \r \h </w:instrText>
      </w:r>
      <w:r>
        <w:rPr/>
        <w:fldChar w:fldCharType="separate"/>
      </w:r>
      <w:r>
        <w:rPr/>
        <w:t>4.12</w:t>
      </w:r>
      <w:r>
        <w:rPr/>
        <w:fldChar w:fldCharType="end"/>
      </w:r>
      <w:r>
        <w:rPr/>
        <w:t xml:space="preserve">, </w:t>
      </w:r>
      <w:r>
        <w:rPr/>
        <w:fldChar w:fldCharType="begin"/>
      </w:r>
      <w:r>
        <w:rPr/>
        <w:instrText xml:space="preserve"> REF _Ref149656148 \r \h </w:instrText>
      </w:r>
      <w:r>
        <w:rPr/>
        <w:fldChar w:fldCharType="separate"/>
      </w:r>
      <w:r>
        <w:rPr/>
        <w:t>4.14</w:t>
      </w:r>
      <w:r>
        <w:rPr/>
        <w:fldChar w:fldCharType="end"/>
      </w:r>
      <w:r>
        <w:rPr/>
        <w:t>).</w:t>
      </w:r>
      <w:bookmarkEnd w:id="193"/>
    </w:p>
    <w:p>
      <w:pPr>
        <w:pStyle w:val="Style17"/>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(подразделы </w:t>
      </w:r>
      <w:r>
        <w:rPr/>
        <w:fldChar w:fldCharType="begin"/>
      </w:r>
      <w:r>
        <w:rPr/>
        <w:instrText xml:space="preserve"> REF _Ref132797154 \r \h </w:instrText>
      </w:r>
      <w:r>
        <w:rPr/>
        <w:fldChar w:fldCharType="separate"/>
      </w:r>
      <w:r>
        <w:rPr/>
        <w:t>4.12</w:t>
      </w:r>
      <w:r>
        <w:rPr/>
        <w:fldChar w:fldCharType="end"/>
      </w:r>
      <w:r>
        <w:rPr/>
        <w:t xml:space="preserve">, </w:t>
      </w:r>
      <w:r>
        <w:rPr/>
        <w:fldChar w:fldCharType="begin"/>
      </w:r>
      <w:r>
        <w:rPr/>
        <w:instrText xml:space="preserve"> REF _Ref149656148 \r \h </w:instrText>
      </w:r>
      <w:r>
        <w:rPr/>
        <w:fldChar w:fldCharType="separate"/>
      </w:r>
      <w:r>
        <w:rPr/>
        <w:t>4.14</w:t>
      </w:r>
      <w:r>
        <w:rPr/>
        <w:fldChar w:fldCharType="end"/>
      </w:r>
      <w:r>
        <w:rPr/>
        <w:t>).</w:t>
      </w:r>
    </w:p>
    <w:p>
      <w:pPr>
        <w:pStyle w:val="Style17"/>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4.16</w:t>
      </w:r>
      <w:r>
        <w:rPr/>
        <w:fldChar w:fldCharType="end"/>
      </w:r>
      <w:r>
        <w:rPr/>
        <w:t>), осуществляется снижение</w:t>
      </w:r>
      <w:r>
        <w:rPr>
          <w:rStyle w:val="FootnoteReference"/>
        </w:rPr>
        <w:footnoteReference w:id="9"/>
      </w:r>
      <w:r>
        <w:rPr/>
        <w:t xml:space="preserve"> на 15% (пятнадцать процентов) итоговой стоимости </w:t>
      </w:r>
      <w:bookmarkStart w:id="194" w:name="_Hlk207810557"/>
      <w:r>
        <w:rPr/>
        <w:t>(цены Договора) поданной и допущенной заявки с российской продукцией (на поставку товара российского происхождения (в том числе поставляемых при выполнении закупаемых работ, оказании закупаемых услуг)), при условии наличия допущенной заявки с иностранной продукцией (на поставку товара иностранного происхождения)</w:t>
      </w:r>
      <w:bookmarkEnd w:id="194"/>
      <w:r>
        <w:rPr/>
        <w:t>.</w:t>
      </w:r>
    </w:p>
    <w:p>
      <w:pPr>
        <w:pStyle w:val="Style17"/>
        <w:rPr/>
      </w:pPr>
      <w:bookmarkStart w:id="195" w:name="_Ref195007400"/>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установлено, что Заказчик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(подразделы </w:t>
      </w:r>
      <w:r>
        <w:rPr/>
        <w:fldChar w:fldCharType="begin"/>
      </w:r>
      <w:r>
        <w:rPr/>
        <w:instrText xml:space="preserve"> REF _Ref149656148 \r \h </w:instrText>
      </w:r>
      <w:r>
        <w:rPr/>
        <w:fldChar w:fldCharType="separate"/>
      </w:r>
      <w:r>
        <w:rPr/>
        <w:t>4.14</w:t>
      </w:r>
      <w:r>
        <w:rPr/>
        <w:fldChar w:fldCharType="end"/>
      </w:r>
      <w:r>
        <w:rPr/>
        <w:t>).</w:t>
      </w:r>
      <w:bookmarkEnd w:id="195"/>
    </w:p>
    <w:p>
      <w:pPr>
        <w:pStyle w:val="Style17"/>
        <w:rPr/>
      </w:pPr>
      <w:r>
        <w:rPr/>
        <w:t>Состав и требования к сведениям и (или) 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законодательства о национальном режиме (пункты </w:t>
      </w:r>
      <w:r>
        <w:rPr/>
        <w:fldChar w:fldCharType="begin"/>
      </w:r>
      <w:r>
        <w:rPr/>
        <w:instrText xml:space="preserve"> REF _Ref195007394 \r \h </w:instrText>
      </w:r>
      <w:r>
        <w:rPr/>
        <w:fldChar w:fldCharType="separate"/>
      </w:r>
      <w:r>
        <w:rPr/>
        <w:t>4.17.2</w:t>
      </w:r>
      <w:r>
        <w:rPr/>
        <w:fldChar w:fldCharType="end"/>
      </w:r>
      <w:r>
        <w:rPr/>
        <w:t> – </w:t>
      </w:r>
      <w:r>
        <w:rPr/>
        <w:fldChar w:fldCharType="begin"/>
      </w:r>
      <w:r>
        <w:rPr/>
        <w:instrText xml:space="preserve"> REF _Ref195007400 \r \h </w:instrText>
      </w:r>
      <w:r>
        <w:rPr/>
        <w:fldChar w:fldCharType="separate"/>
      </w:r>
      <w:r>
        <w:rPr/>
        <w:t>4.17.5</w:t>
      </w:r>
      <w:r>
        <w:rPr/>
        <w:fldChar w:fldCharType="end"/>
      </w:r>
      <w:r>
        <w:rPr/>
        <w:t>), установлены в Структуре НМЦ (в составе Коммерческого предложения (форма 3) (</w:t>
      </w:r>
      <w:hyperlink w:anchor="Прил04_ФормыЗаявки" w:tgtFrame="#Прил04_ФормыЗаявки">
        <w:r>
          <w:rPr>
            <w:rStyle w:val="Style5"/>
          </w:rPr>
          <w:t>Приложение № 4</w:t>
        </w:r>
      </w:hyperlink>
      <w:r>
        <w:rPr/>
        <w:t>), а также в Технических требованиях (</w:t>
      </w:r>
      <w:hyperlink w:anchor="Прил01_ТехТребования" w:tgtFrame="#Прил01_ТехТребования">
        <w:r>
          <w:rPr>
            <w:rStyle w:val="Style5"/>
          </w:rPr>
          <w:t>Приложение № 1</w:t>
        </w:r>
      </w:hyperlink>
      <w:r>
        <w:rPr/>
        <w:t>) при исполнении Заказчиком норм в части минимальной обязательной доли закупок товаров российского происхождения.</w:t>
      </w:r>
    </w:p>
    <w:p>
      <w:pPr>
        <w:pStyle w:val="Style17"/>
        <w:keepNext w:val="true"/>
        <w:rPr/>
      </w:pPr>
      <w:r>
        <w:rPr/>
        <w:t>Товар приравнивается к товарам, происходящим из иностранного государства (не являющегося государством – членом ЕАЭС), если:</w:t>
      </w:r>
    </w:p>
    <w:p>
      <w:pPr>
        <w:pStyle w:val="Style18"/>
        <w:rPr/>
      </w:pPr>
      <w:r>
        <w:rPr/>
        <w:t>в отношении такого товара Участником не предоставлены в составе заявки требуемые Документацией о закупке подтверждающие сведения и (или) документы;</w:t>
      </w:r>
    </w:p>
    <w:p>
      <w:pPr>
        <w:pStyle w:val="Style18"/>
        <w:rPr/>
      </w:pPr>
      <w:r>
        <w:rPr/>
        <w:t>в соответствии с реестровой записью из реестра российской промышленной продукции количество указанных баллов за выполнение (освоение) на территории Российской Федерации соответствующих операций (условий) составляет меньшее значение по отношению к количеству баллов, определенных ПП 719 (в случае, если для такого товара ПП 719 установлены требования о совокупном количестве баллов).</w:t>
      </w:r>
    </w:p>
    <w:p>
      <w:pPr>
        <w:pStyle w:val="Style17"/>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(в отношении позиции № 146 приложения № 1 к ПП 1875), то заявка, содержащая предложение о поставке российского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 приравнивается к заявке, содержащей предложение о поставке программного обеспечения, происходящего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 ПП 325.</w:t>
      </w:r>
    </w:p>
    <w:p>
      <w:pPr>
        <w:pStyle w:val="Style17"/>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(в отношении позиций №№ 195, 197 – 199, 203 приложения № 2 к ПП 1875), то заявка, содержащая предложение о поставке российской радиоэлектронной продукции, но не являющейся в соответствии с ПП 719 радиоэлектронной продукцией первого уровня, приравнивается к заявке, содержащей предложение о поставке радиоэлектронной продукции из иностранного государства (не являющегося государством – членом ЕАЭС), если на участие в закупке подана заявка (соответствующая установленным Документацией о закупке требованиям), содержащая предложение о поставке радиоэлектронной продукции российского происхождения, являющейся в соответствии с ПП 719 радиоэлектронной продукцией первого уровня.</w:t>
      </w:r>
    </w:p>
    <w:p>
      <w:pPr>
        <w:pStyle w:val="Style17"/>
        <w:rPr/>
      </w:pPr>
      <w:r>
        <w:rPr/>
        <w:t>Если Договор был заключен по результатам закупки, в которой был установлен режим запрета закупки иностранных товаров, выполнения работ и (или) оказания услуг иностранным лицом,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 установлен запрет;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pPr>
        <w:pStyle w:val="Style17"/>
        <w:rPr/>
      </w:pPr>
      <w:r>
        <w:rPr/>
        <w:t>Если Договор был заключен по результатам закупки, в которой был установлен режим ограничения закупки иностранных товаров,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ограничение, если Договор предусматривает поставку товара российского происхождения.</w:t>
      </w:r>
    </w:p>
    <w:p>
      <w:pPr>
        <w:pStyle w:val="Style17"/>
        <w:rPr/>
      </w:pPr>
      <w:bookmarkStart w:id="196" w:name="_Hlk207810620"/>
      <w:r>
        <w:rPr/>
        <w:t>Если Договор был заключен по результатам закупки, в которой был установлен режим преимущество в отношении товара российского происхождения, то не допускается при исполнении такого Договора замена закупаемого товара на товар, происходящий из иностранного государства, в отношении которого в закупке было установлено преимущество, если Договор предусматривает поставку товара российского происхождения</w:t>
      </w:r>
      <w:bookmarkEnd w:id="196"/>
      <w:r>
        <w:rPr/>
        <w:t>.</w:t>
      </w:r>
    </w:p>
    <w:p>
      <w:pPr>
        <w:pStyle w:val="Style24"/>
        <w:keepNext w:val="true"/>
        <w:rPr/>
      </w:pPr>
      <w:r>
        <w:rPr/>
      </w:r>
    </w:p>
    <w:p>
      <w:pPr>
        <w:pStyle w:val="Style16"/>
        <w:rPr/>
      </w:pPr>
      <w:bookmarkStart w:id="197" w:name="_Ref195867895"/>
      <w:bookmarkStart w:id="198" w:name="_Toc228877226"/>
      <w:bookmarkStart w:id="199" w:name="_Ref125362643"/>
      <w:bookmarkStart w:id="200" w:name="_Ref125366074"/>
      <w:bookmarkStart w:id="201" w:name="_Ref125370800"/>
      <w:bookmarkStart w:id="202" w:name="_Ref125640994"/>
      <w:bookmarkStart w:id="203" w:name="_Ref125641102"/>
      <w:r>
        <w:rPr/>
        <w:t>Преференции в части использования российского алюминия</w:t>
      </w:r>
      <w:bookmarkEnd w:id="197"/>
      <w:bookmarkEnd w:id="198"/>
      <w:bookmarkEnd w:id="199"/>
      <w:bookmarkEnd w:id="200"/>
      <w:bookmarkEnd w:id="201"/>
      <w:bookmarkEnd w:id="202"/>
      <w:bookmarkEnd w:id="203"/>
    </w:p>
    <w:p>
      <w:pPr>
        <w:pStyle w:val="Style17"/>
        <w:rPr/>
      </w:pPr>
      <w:r>
        <w:rPr/>
        <w:t>Заказчиком предоставляется преференция продукции, изготовленной с использованием российского алюминия и (или) алюминиевых полуфабрикатов, при оценке и сопоставлении заявок (подраздел </w:t>
      </w:r>
      <w:r>
        <w:rPr/>
        <w:fldChar w:fldCharType="begin"/>
      </w:r>
      <w:r>
        <w:rPr/>
        <w:instrText xml:space="preserve"> REF _Ref125362626 \r \h </w:instrText>
      </w:r>
      <w:r>
        <w:rPr/>
        <w:fldChar w:fldCharType="separate"/>
      </w:r>
      <w:r>
        <w:rPr/>
        <w:t>4.16</w:t>
      </w:r>
      <w:r>
        <w:rPr/>
        <w:fldChar w:fldCharType="end"/>
      </w:r>
      <w:r>
        <w:rPr/>
        <w:t>) применяются положения настоящего подраздела.</w:t>
      </w:r>
    </w:p>
    <w:p>
      <w:pPr>
        <w:pStyle w:val="Style17"/>
        <w:rPr/>
      </w:pPr>
      <w:r>
        <w:rPr/>
        <w:t>Для предоставления соответствующей преференции в части использования российского алюминия и (или) алюминиевых полуфабрикатов Участнику необходимо подать в Техническом предложении (форма 4) (</w:t>
      </w:r>
      <w:hyperlink w:anchor="Прил04_ФормыЗаявки" w:tgtFrame="#Прил04_ФормыЗаявки">
        <w:r>
          <w:rPr>
            <w:rStyle w:val="Style5"/>
          </w:rPr>
          <w:t>Приложение № 4</w:t>
        </w:r>
      </w:hyperlink>
      <w:r>
        <w:rPr/>
        <w:t>) декларацию ПИРААП. В случае непредставления Участником декларации ПИРААП в составе заявки, использование российского алюминия и (или) алюминиевых полуфабрикатов считается неподтвержденным, и преференция такому Участнику не предоставляется.</w:t>
      </w:r>
    </w:p>
    <w:p>
      <w:pPr>
        <w:pStyle w:val="Style17"/>
        <w:spacing w:before="120" w:after="120"/>
        <w:rPr/>
      </w:pPr>
      <w:r>
        <w:rPr/>
        <w:t>В отношении Участников, подавших декларацию ПИРААП, Организатором применяется расчетное снижение стоимости заявки в целях оценки и сопоставления заявок (пропорционально доле российского алюминия и (или) алюминиевых полуфабрикатов, указанной в декларации ПИРААП) на следующую величину процента снижения:</w:t>
      </w:r>
    </w:p>
    <w:tbl>
      <w:tblPr>
        <w:tblStyle w:val="1482"/>
        <w:tblW w:w="878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1840"/>
        <w:gridCol w:w="6942"/>
      </w:tblGrid>
      <w:tr>
        <w:trPr/>
        <w:tc>
          <w:tcPr>
            <w:tcW w:w="1840" w:type="dxa"/>
            <w:tcBorders/>
          </w:tcPr>
          <w:p>
            <w:pPr>
              <w:pStyle w:val="Style21"/>
              <w:keepNext w:val="true"/>
              <w:keepLines w:val="false"/>
              <w:widowControl w:val="false"/>
              <w:spacing w:before="60" w:after="60"/>
              <w:jc w:val="center"/>
              <w:rPr>
                <w:b w:val="false"/>
                <w:bCs/>
              </w:rPr>
            </w:pPr>
            <w:r>
              <w:rPr>
                <w:rFonts w:eastAsia="Calibri"/>
                <w:b w:val="false"/>
                <w:bCs/>
                <w:kern w:val="0"/>
                <w:sz w:val="26"/>
                <w:szCs w:val="22"/>
                <w:lang w:val="ru-RU" w:eastAsia="en-US" w:bidi="ar-SA"/>
              </w:rPr>
              <w:t>% снижения стоимости заявки</w:t>
            </w:r>
          </w:p>
        </w:tc>
        <w:tc>
          <w:tcPr>
            <w:tcW w:w="6942" w:type="dxa"/>
            <w:tcBorders/>
          </w:tcPr>
          <w:p>
            <w:pPr>
              <w:pStyle w:val="Style21"/>
              <w:keepNext w:val="true"/>
              <w:keepLines w:val="false"/>
              <w:widowControl w:val="false"/>
              <w:spacing w:before="60" w:after="60"/>
              <w:jc w:val="center"/>
              <w:rPr>
                <w:b w:val="false"/>
                <w:bCs/>
              </w:rPr>
            </w:pPr>
            <w:r>
              <w:rPr>
                <w:rFonts w:eastAsia="Calibri"/>
                <w:b w:val="false"/>
                <w:bCs/>
                <w:kern w:val="0"/>
                <w:sz w:val="26"/>
                <w:szCs w:val="22"/>
                <w:lang w:val="ru-RU" w:eastAsia="en-US" w:bidi="ar-SA"/>
              </w:rPr>
              <w:t>Доля (масса) российского алюминия и (или) алюминиевых полуфабрикатов в общем объеме используемого алюминия и (или) алюминиевых полуфабрикатов, в натуральном выражении (в %)</w:t>
            </w:r>
          </w:p>
        </w:tc>
      </w:tr>
      <w:tr>
        <w:trPr/>
        <w:tc>
          <w:tcPr>
            <w:tcW w:w="184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0%</w:t>
            </w:r>
          </w:p>
        </w:tc>
        <w:tc>
          <w:tcPr>
            <w:tcW w:w="6942"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не более 25%</w:t>
            </w:r>
          </w:p>
        </w:tc>
      </w:tr>
      <w:tr>
        <w:trPr/>
        <w:tc>
          <w:tcPr>
            <w:tcW w:w="184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3%</w:t>
            </w:r>
          </w:p>
        </w:tc>
        <w:tc>
          <w:tcPr>
            <w:tcW w:w="6942"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свыше 25% (но не более 50%)</w:t>
            </w:r>
          </w:p>
        </w:tc>
      </w:tr>
      <w:tr>
        <w:trPr/>
        <w:tc>
          <w:tcPr>
            <w:tcW w:w="184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6%</w:t>
            </w:r>
          </w:p>
        </w:tc>
        <w:tc>
          <w:tcPr>
            <w:tcW w:w="6942"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свыше 50% (но не более 75%)</w:t>
            </w:r>
          </w:p>
        </w:tc>
      </w:tr>
      <w:tr>
        <w:trPr/>
        <w:tc>
          <w:tcPr>
            <w:tcW w:w="184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10%</w:t>
            </w:r>
          </w:p>
        </w:tc>
        <w:tc>
          <w:tcPr>
            <w:tcW w:w="6942"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свыше 75%</w:t>
            </w:r>
          </w:p>
        </w:tc>
      </w:tr>
    </w:tbl>
    <w:p>
      <w:pPr>
        <w:pStyle w:val="Style17"/>
        <w:rPr/>
      </w:pPr>
      <w:r>
        <w:rPr/>
        <w:t>При этом договор с Победителем, в отношении которого было произведено расчетное снижение стоимости заявки, заключается по цене договора, предложенной в заявке такого Участника.</w:t>
      </w:r>
    </w:p>
    <w:p>
      <w:pPr>
        <w:pStyle w:val="Style17"/>
        <w:rPr/>
      </w:pPr>
      <w:r>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pPr>
        <w:pStyle w:val="Style24"/>
        <w:rPr/>
      </w:pPr>
      <w:r>
        <w:rPr/>
      </w:r>
    </w:p>
    <w:p>
      <w:pPr>
        <w:pStyle w:val="Style16"/>
        <w:rPr/>
      </w:pPr>
      <w:bookmarkStart w:id="204" w:name="_Ref125362658"/>
      <w:bookmarkStart w:id="205" w:name="_Ref125366091"/>
      <w:bookmarkStart w:id="206" w:name="_Ref125367242"/>
      <w:bookmarkStart w:id="207" w:name="_Toc228877227"/>
      <w:r>
        <w:rPr/>
        <w:t>Подведение итогов закупки (определение Победителя)</w:t>
      </w:r>
      <w:bookmarkEnd w:id="204"/>
      <w:bookmarkEnd w:id="205"/>
      <w:bookmarkEnd w:id="206"/>
      <w:bookmarkEnd w:id="207"/>
    </w:p>
    <w:p>
      <w:pPr>
        <w:pStyle w:val="Style17"/>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17"/>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17"/>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17"/>
        <w:keepNext w:val="true"/>
        <w:rPr/>
      </w:pPr>
      <w:bookmarkStart w:id="208"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0"/>
      </w:r>
      <w:r>
        <w:rPr/>
        <w:t>:</w:t>
      </w:r>
      <w:bookmarkEnd w:id="208"/>
    </w:p>
    <w:p>
      <w:pPr>
        <w:pStyle w:val="Style18"/>
        <w:rPr/>
      </w:pPr>
      <w:r>
        <w:rPr/>
        <w:t>дата подписания протокола;</w:t>
      </w:r>
    </w:p>
    <w:p>
      <w:pPr>
        <w:pStyle w:val="Style18"/>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18"/>
        <w:rPr/>
      </w:pPr>
      <w:r>
        <w:rPr/>
        <w:t>наименования Участников, заявки которых были допущены по результатам рассмотрения вторых частей заявок, и (или) их идентификационные номера, присваиваемые Оператором ЭП;</w:t>
      </w:r>
    </w:p>
    <w:p>
      <w:pPr>
        <w:pStyle w:val="Style18"/>
        <w:keepNext w:val="true"/>
        <w:rPr/>
      </w:pPr>
      <w:r>
        <w:rPr/>
        <w:t>результаты рассмотрения ценовых предложений Участников с указанием, в том числе:</w:t>
      </w:r>
    </w:p>
    <w:p>
      <w:pPr>
        <w:pStyle w:val="Style19"/>
        <w:rPr/>
      </w:pPr>
      <w:r>
        <w:rPr/>
        <w:t>количества заявок, которые были отклонены (отдельно по результатам рассмотрения первых частей заявок, по результатам рассмотрения вторых частей заявок и результатам рассмотрения ценовых предложений);</w:t>
      </w:r>
    </w:p>
    <w:p>
      <w:pPr>
        <w:pStyle w:val="Style19"/>
        <w:rPr/>
      </w:pPr>
      <w:r>
        <w:rPr/>
        <w:t>оснований отклонения каждой заявки с указанием положений Документации о закупке, которым не соответствует такая заявка;</w:t>
      </w:r>
    </w:p>
    <w:p>
      <w:pPr>
        <w:pStyle w:val="Style18"/>
        <w:rPr/>
      </w:pPr>
      <w:r>
        <w:rPr/>
        <w:t>результаты дополнительного рассмотрения заявок (при возникновении оснований для отклонения заявок по результатам проведения актуализации статуса аккредитации, если такая процедура проводились) с указанием, в том числе:</w:t>
      </w:r>
    </w:p>
    <w:p>
      <w:pPr>
        <w:pStyle w:val="Style19"/>
        <w:rPr/>
      </w:pPr>
      <w:r>
        <w:rPr/>
        <w:t>количества заявок, которые были отклонены;</w:t>
      </w:r>
    </w:p>
    <w:p>
      <w:pPr>
        <w:pStyle w:val="Style19"/>
        <w:rPr/>
      </w:pPr>
      <w:r>
        <w:rPr/>
        <w:t>оснований отклонения каждой заявки с указанием положений Документации о закупке, которым не соответствует такая заявка;</w:t>
      </w:r>
    </w:p>
    <w:p>
      <w:pPr>
        <w:pStyle w:val="Style18"/>
        <w:rPr/>
      </w:pPr>
      <w:r>
        <w:rPr/>
        <w:t>порядковые номера каждой заявки (с указанием стоимостей заявок (цен Договоров), не отклоненной по результатам рассмотрения ценовых предложений, в том числе с учетом результатов актуализации статуса аккредитации (если указанная процедура проводилась), в ранжировке заявок;</w:t>
      </w:r>
    </w:p>
    <w:p>
      <w:pPr>
        <w:pStyle w:val="Style18"/>
        <w:rPr/>
      </w:pPr>
      <w:r>
        <w:rPr/>
        <w:t>наименование Победителя закупки или Единственного участника несостоявшейся закупки, с которым планируется заключить Договор;</w:t>
      </w:r>
    </w:p>
    <w:p>
      <w:pPr>
        <w:pStyle w:val="Style18"/>
        <w:rPr/>
      </w:pPr>
      <w:r>
        <w:rPr/>
        <w:t>причины, по которым закупка признана несостоявшейся (в случае ее признания таковой),</w:t>
      </w:r>
    </w:p>
    <w:p>
      <w:pPr>
        <w:pStyle w:val="Style21"/>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17"/>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17"/>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17"/>
        <w:rPr/>
      </w:pPr>
      <w:r>
        <w:rPr/>
        <w:t>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_Ref130394205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16"/>
        <w:rPr/>
      </w:pPr>
      <w:bookmarkStart w:id="209" w:name="_Ref125364149"/>
      <w:bookmarkStart w:id="210" w:name="_Ref125364187"/>
      <w:bookmarkStart w:id="211" w:name="_Ref125365305"/>
      <w:bookmarkStart w:id="212" w:name="_Ref125365570"/>
      <w:bookmarkStart w:id="213" w:name="_Ref125366631"/>
      <w:bookmarkStart w:id="214" w:name="_Ref125366796"/>
      <w:bookmarkStart w:id="215" w:name="_Toc228877228"/>
      <w:bookmarkStart w:id="216" w:name="_Ref132816300_Копия_1"/>
      <w:bookmarkStart w:id="217" w:name="_Ref130985951_Копия_1"/>
      <w:bookmarkStart w:id="218" w:name="_Ref125366064_Копия_1"/>
      <w:bookmarkStart w:id="219" w:name="_Ref125369991_Копия_1"/>
      <w:bookmarkStart w:id="220" w:name="_Ref125370507_Копия_1"/>
      <w:bookmarkStart w:id="221" w:name="_Ref130458671_Копия_1"/>
      <w:bookmarkEnd w:id="216"/>
      <w:bookmarkEnd w:id="217"/>
      <w:bookmarkEnd w:id="218"/>
      <w:bookmarkEnd w:id="219"/>
      <w:bookmarkEnd w:id="220"/>
      <w:bookmarkEnd w:id="221"/>
      <w:r>
        <w:rPr/>
        <w:t>Признание закупки несостоявшейся</w:t>
      </w:r>
      <w:bookmarkEnd w:id="209"/>
      <w:bookmarkEnd w:id="210"/>
      <w:bookmarkEnd w:id="211"/>
      <w:bookmarkEnd w:id="212"/>
      <w:bookmarkEnd w:id="213"/>
      <w:bookmarkEnd w:id="214"/>
      <w:bookmarkEnd w:id="215"/>
    </w:p>
    <w:p>
      <w:pPr>
        <w:pStyle w:val="Style17"/>
        <w:keepNext w:val="true"/>
        <w:rPr/>
      </w:pPr>
      <w:bookmarkStart w:id="222" w:name="_Ref214290100"/>
      <w:r>
        <w:rPr/>
        <w:t>Закупка признается несостоявшейся в следующих случаях:</w:t>
      </w:r>
      <w:bookmarkEnd w:id="222"/>
    </w:p>
    <w:p>
      <w:pPr>
        <w:pStyle w:val="Style18"/>
        <w:rPr/>
      </w:pPr>
      <w:r>
        <w:rPr/>
        <w:t>если по окончанию срока подачи заявок поступило менее 2 (двух) заявок (с учетом возможных отзывов заявок);</w:t>
      </w:r>
    </w:p>
    <w:p>
      <w:pPr>
        <w:pStyle w:val="Style18"/>
        <w:rPr/>
      </w:pPr>
      <w:r>
        <w:rPr/>
        <w:t>по результатам рассмотрения первых частей заявок Закупочной комиссией принято решение о признании менее 2 (двух) заявок соответствующими требованиям Документации о закупки;</w:t>
      </w:r>
    </w:p>
    <w:p>
      <w:pPr>
        <w:pStyle w:val="Style18"/>
        <w:rPr/>
      </w:pPr>
      <w:r>
        <w:rPr/>
        <w:t>по результатам проведения процедуры аукциона не поступило ни одного ценового предложения Участника – ценовой ставки;</w:t>
      </w:r>
    </w:p>
    <w:p>
      <w:pPr>
        <w:pStyle w:val="Style18"/>
        <w:rPr/>
      </w:pPr>
      <w:r>
        <w:rPr/>
        <w:t>по результатам рассмотрения вторых частей заявок Закупочной комиссией принято решение о признании менее 2 (двух) заявок соответствующими требованиям Документации о закупки;</w:t>
      </w:r>
    </w:p>
    <w:p>
      <w:pPr>
        <w:pStyle w:val="Style18"/>
        <w:rPr/>
      </w:pPr>
      <w:r>
        <w:rPr/>
        <w:t>по результатам рассмотрения ценовых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18"/>
        <w:rPr/>
      </w:pPr>
      <w:bookmarkStart w:id="223" w:name="_Hlk219297033"/>
      <w:r>
        <w:rPr/>
        <w:t>по результатам проведения закупки от заключения договора уклонились все допущенные Участники (подраздел</w:t>
      </w:r>
      <w:bookmarkEnd w:id="223"/>
      <w:r>
        <w:rPr/>
        <w:t xml:space="preserve"> </w:t>
      </w:r>
      <w:r>
        <w:rPr/>
        <w:fldChar w:fldCharType="begin"/>
      </w:r>
      <w:r>
        <w:rPr/>
        <w:instrText xml:space="preserve"> REF _Ref125367068 \r \h </w:instrText>
      </w:r>
      <w:r>
        <w:rPr/>
        <w:fldChar w:fldCharType="separate"/>
      </w:r>
      <w:r>
        <w:rPr/>
        <w:t>5.3</w:t>
      </w:r>
      <w:r>
        <w:rPr/>
        <w:fldChar w:fldCharType="end"/>
      </w:r>
      <w:r>
        <w:rPr/>
        <w:t>).</w:t>
      </w:r>
    </w:p>
    <w:p>
      <w:pPr>
        <w:pStyle w:val="Style17"/>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17"/>
        <w:keepNext w:val="true"/>
        <w:rPr/>
      </w:pPr>
      <w:r>
        <w:rPr/>
        <w:t>В случае признания закупки несостоявшейся (с учетом условий, предусмотренных Положением о закупке):</w:t>
      </w:r>
    </w:p>
    <w:p>
      <w:pPr>
        <w:pStyle w:val="Style18"/>
        <w:rPr/>
      </w:pPr>
      <w:r>
        <w:rPr/>
        <w:t xml:space="preserve">если поступила только 1 (одна) заявка от одного Участника (с учетом отозванных Участниками заявок), либо по результатам рассмотрения заявок (частей заявок, ценовых предложений в соответствии с пунктом </w:t>
      </w:r>
      <w:r>
        <w:rPr/>
        <w:fldChar w:fldCharType="begin"/>
      </w:r>
      <w:r>
        <w:rPr/>
        <w:instrText xml:space="preserve"> REF _Ref214290100 \r \h </w:instrText>
      </w:r>
      <w:r>
        <w:rPr/>
        <w:fldChar w:fldCharType="separate"/>
      </w:r>
      <w:r>
        <w:rPr/>
        <w:t>4.20.1</w:t>
      </w:r>
      <w:r>
        <w:rPr/>
        <w:fldChar w:fldCharType="end"/>
      </w:r>
      <w:r>
        <w:rPr/>
        <w:t>) принято решение о признании только 1 (одной) заявки соответствующей требованиям Документации о закупке – Заказчик заключает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 (при наличии экономической целесообразности и/или при условии отсутствия времени на повторное проведение закупки).</w:t>
      </w:r>
    </w:p>
    <w:p>
      <w:pPr>
        <w:pStyle w:val="Style28"/>
        <w:numPr>
          <w:ilvl w:val="0"/>
          <w:numId w:val="0"/>
        </w:numPr>
        <w:ind w:left="1701" w:hanging="0"/>
        <w:rPr>
          <w:sz w:val="26"/>
          <w:szCs w:val="26"/>
        </w:rPr>
      </w:pPr>
      <w:r>
        <w:rPr>
          <w:sz w:val="26"/>
          <w:szCs w:val="26"/>
        </w:rPr>
        <w:t>В случае отсутствия экономической целесообразности и/или при наличии времени на повторное проведение закупки, Заказчик принимает одно из следующих решений в порядке приоритета:</w:t>
      </w:r>
    </w:p>
    <w:p>
      <w:pPr>
        <w:pStyle w:val="-1"/>
        <w:numPr>
          <w:ilvl w:val="0"/>
          <w:numId w:val="18"/>
        </w:numPr>
        <w:tabs>
          <w:tab w:val="clear" w:pos="2552"/>
        </w:tabs>
        <w:ind w:left="2127" w:hanging="426"/>
        <w:rPr>
          <w:sz w:val="26"/>
          <w:szCs w:val="26"/>
        </w:rPr>
      </w:pPr>
      <w:r>
        <w:rPr>
          <w:sz w:val="26"/>
          <w:szCs w:val="26"/>
        </w:rPr>
        <w:t>повторное проведение закупки (в том числе с возможностью снятия признака закупки только среди субъектов МСП);</w:t>
      </w:r>
    </w:p>
    <w:p>
      <w:pPr>
        <w:pStyle w:val="-1"/>
        <w:numPr>
          <w:ilvl w:val="0"/>
          <w:numId w:val="18"/>
        </w:numPr>
        <w:tabs>
          <w:tab w:val="clear" w:pos="2552"/>
        </w:tabs>
        <w:ind w:left="1701" w:hanging="0"/>
        <w:rPr>
          <w:sz w:val="26"/>
          <w:szCs w:val="26"/>
        </w:rPr>
      </w:pPr>
      <w:r>
        <w:rPr>
          <w:sz w:val="26"/>
          <w:szCs w:val="26"/>
        </w:rPr>
        <w:t>отказ от заключения договора по следующим основаниям:</w:t>
      </w:r>
    </w:p>
    <w:p>
      <w:pPr>
        <w:pStyle w:val="-1"/>
        <w:numPr>
          <w:ilvl w:val="0"/>
          <w:numId w:val="19"/>
        </w:numPr>
        <w:tabs>
          <w:tab w:val="clear" w:pos="2552"/>
        </w:tabs>
        <w:ind w:left="2410" w:hanging="283"/>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19"/>
        </w:numPr>
        <w:tabs>
          <w:tab w:val="clear" w:pos="2552"/>
        </w:tabs>
        <w:ind w:left="2410" w:hanging="283"/>
        <w:rPr>
          <w:sz w:val="26"/>
          <w:szCs w:val="26"/>
        </w:rPr>
      </w:pPr>
      <w:r>
        <w:rPr>
          <w:sz w:val="26"/>
          <w:szCs w:val="26"/>
        </w:rPr>
        <w:t>изменение потребности в продукции, в том числе изменение характеристик продукции, при наличии утверждения таких изменений;</w:t>
      </w:r>
    </w:p>
    <w:p>
      <w:pPr>
        <w:pStyle w:val="-1"/>
        <w:numPr>
          <w:ilvl w:val="0"/>
          <w:numId w:val="19"/>
        </w:numPr>
        <w:tabs>
          <w:tab w:val="clear" w:pos="2552"/>
        </w:tabs>
        <w:ind w:left="2410" w:hanging="283"/>
        <w:rPr>
          <w:sz w:val="26"/>
          <w:szCs w:val="26"/>
        </w:rPr>
      </w:pPr>
      <w:r>
        <w:rPr>
          <w:sz w:val="26"/>
          <w:szCs w:val="26"/>
        </w:rPr>
        <w:t>необходимость исполнения предписаний антимонопольного органа;</w:t>
      </w:r>
    </w:p>
    <w:p>
      <w:pPr>
        <w:pStyle w:val="-1"/>
        <w:numPr>
          <w:ilvl w:val="0"/>
          <w:numId w:val="18"/>
        </w:numPr>
        <w:tabs>
          <w:tab w:val="clear" w:pos="2552"/>
        </w:tabs>
        <w:ind w:left="2127" w:hanging="426"/>
        <w:rPr>
          <w:sz w:val="26"/>
          <w:szCs w:val="26"/>
        </w:rPr>
      </w:pPr>
      <w:bookmarkStart w:id="224" w:name="_Hlk214281841"/>
      <w:r>
        <w:rPr>
          <w:sz w:val="26"/>
          <w:szCs w:val="26"/>
        </w:rPr>
        <w:t>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bookmarkEnd w:id="224"/>
    </w:p>
    <w:p>
      <w:pPr>
        <w:pStyle w:val="Style18"/>
        <w:rPr/>
      </w:pPr>
      <w:r>
        <w:rPr/>
        <w:t xml:space="preserve">если не поступило ни одной заявки (ни одного ценового предложения по результатам проведения процедуры аукциона в соответствии с пунктом </w:t>
      </w:r>
      <w:r>
        <w:rPr/>
        <w:fldChar w:fldCharType="begin"/>
      </w:r>
      <w:r>
        <w:rPr/>
        <w:instrText xml:space="preserve"> REF _Ref214290100 \r \h </w:instrText>
      </w:r>
      <w:r>
        <w:rPr/>
        <w:fldChar w:fldCharType="separate"/>
      </w:r>
      <w:r>
        <w:rPr/>
        <w:t>4.20.1</w:t>
      </w:r>
      <w:r>
        <w:rPr/>
        <w:fldChar w:fldCharType="end"/>
      </w:r>
      <w:r>
        <w:rPr/>
        <w:t xml:space="preserve">), либо по результатам рассмотрения заявок (частей заявок, ценовых предложений в соответствии с пунктом </w:t>
      </w:r>
      <w:r>
        <w:rPr/>
        <w:fldChar w:fldCharType="begin"/>
      </w:r>
      <w:r>
        <w:rPr/>
        <w:instrText xml:space="preserve"> REF _Ref214290100 \r \h </w:instrText>
      </w:r>
      <w:r>
        <w:rPr/>
        <w:fldChar w:fldCharType="separate"/>
      </w:r>
      <w:r>
        <w:rPr/>
        <w:t>4.20.1</w:t>
      </w:r>
      <w:r>
        <w:rPr/>
        <w:fldChar w:fldCharType="end"/>
      </w:r>
      <w:r>
        <w:rPr/>
        <w:t xml:space="preserve">), принято решение о признании их не соответствующими требованиям Документации о закупке, </w:t>
      </w:r>
      <w:bookmarkStart w:id="225" w:name="_Hlk219297054"/>
      <w:r>
        <w:rPr/>
        <w:t>либо по результатам проведения закупки от заключения договора уклонились все допущенные Участники</w:t>
      </w:r>
      <w:bookmarkEnd w:id="225"/>
      <w:r>
        <w:rPr/>
        <w:t xml:space="preserve"> – Заказчик проводит повторную закупку (</w:t>
      </w:r>
      <w:r>
        <w:rPr>
          <w:szCs w:val="26"/>
        </w:rPr>
        <w:t>в том числе с возможностью снятия признака закупки только среди субъектов МСП</w:t>
      </w:r>
      <w:r>
        <w:rPr/>
        <w:t>).</w:t>
      </w:r>
    </w:p>
    <w:p>
      <w:pPr>
        <w:pStyle w:val="Style28"/>
        <w:numPr>
          <w:ilvl w:val="0"/>
          <w:numId w:val="0"/>
        </w:numPr>
        <w:ind w:left="1701" w:hanging="0"/>
        <w:rPr>
          <w:sz w:val="26"/>
          <w:szCs w:val="26"/>
        </w:rPr>
      </w:pPr>
      <w:r>
        <w:rPr>
          <w:sz w:val="26"/>
          <w:szCs w:val="26"/>
        </w:rPr>
        <w:t>Заказчик вправе отказаться от проведения повторной закупки по следующим основаниям:</w:t>
      </w:r>
    </w:p>
    <w:p>
      <w:pPr>
        <w:pStyle w:val="-1"/>
        <w:numPr>
          <w:ilvl w:val="0"/>
          <w:numId w:val="19"/>
        </w:numPr>
        <w:tabs>
          <w:tab w:val="clear" w:pos="2552"/>
        </w:tabs>
        <w:ind w:left="2127" w:hanging="426"/>
        <w:rPr>
          <w:sz w:val="26"/>
          <w:szCs w:val="26"/>
        </w:rPr>
      </w:pPr>
      <w:r>
        <w:rPr>
          <w:sz w:val="26"/>
          <w:szCs w:val="26"/>
        </w:rPr>
        <w:t>изменение финансовых, инвестиционных, производственных и иных программ, оказавших влияние на потребность в данной закупке;</w:t>
      </w:r>
    </w:p>
    <w:p>
      <w:pPr>
        <w:pStyle w:val="-1"/>
        <w:numPr>
          <w:ilvl w:val="0"/>
          <w:numId w:val="19"/>
        </w:numPr>
        <w:tabs>
          <w:tab w:val="clear" w:pos="2552"/>
        </w:tabs>
        <w:ind w:left="2127" w:hanging="426"/>
        <w:rPr>
          <w:sz w:val="26"/>
          <w:szCs w:val="26"/>
        </w:rPr>
      </w:pPr>
      <w:r>
        <w:rPr>
          <w:sz w:val="26"/>
          <w:szCs w:val="26"/>
        </w:rPr>
        <w:t>изменение потребности в продукции, в том числе изменение характеристик продукции;</w:t>
      </w:r>
    </w:p>
    <w:p>
      <w:pPr>
        <w:pStyle w:val="-1"/>
        <w:numPr>
          <w:ilvl w:val="0"/>
          <w:numId w:val="19"/>
        </w:numPr>
        <w:tabs>
          <w:tab w:val="clear" w:pos="2552"/>
        </w:tabs>
        <w:ind w:left="2127" w:hanging="426"/>
        <w:rPr>
          <w:sz w:val="26"/>
          <w:szCs w:val="26"/>
        </w:rPr>
      </w:pPr>
      <w:r>
        <w:rPr>
          <w:sz w:val="26"/>
          <w:szCs w:val="26"/>
        </w:rPr>
        <w:t>при отсутствии заявок, соответствующих установленным требованиям, по результатам повторного проведения закупки.</w:t>
      </w:r>
    </w:p>
    <w:p>
      <w:pPr>
        <w:pStyle w:val="Style16"/>
        <w:rPr/>
      </w:pPr>
      <w:bookmarkStart w:id="226" w:name="_Ref132816134"/>
      <w:bookmarkStart w:id="227" w:name="_Ref132816141"/>
      <w:bookmarkStart w:id="228" w:name="_Toc228877229"/>
      <w:bookmarkStart w:id="229" w:name="_Ref126141962"/>
      <w:bookmarkStart w:id="230" w:name="_Toc224743239"/>
      <w:bookmarkStart w:id="231" w:name="_Toc224743240"/>
      <w:bookmarkStart w:id="232" w:name="_Toc224743241"/>
      <w:bookmarkStart w:id="233" w:name="_Toc224743242"/>
      <w:bookmarkEnd w:id="230"/>
      <w:bookmarkEnd w:id="231"/>
      <w:bookmarkEnd w:id="232"/>
      <w:bookmarkEnd w:id="233"/>
      <w:r>
        <w:rPr/>
        <w:t>Отказ от проведения закупки</w:t>
      </w:r>
      <w:bookmarkEnd w:id="229"/>
      <w:r>
        <w:rPr/>
        <w:t xml:space="preserve"> (отмена закупки)</w:t>
      </w:r>
      <w:bookmarkEnd w:id="226"/>
      <w:bookmarkEnd w:id="227"/>
      <w:bookmarkEnd w:id="228"/>
    </w:p>
    <w:p>
      <w:pPr>
        <w:pStyle w:val="Style17"/>
        <w:rPr/>
      </w:pPr>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17"/>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17"/>
        <w:rPr/>
      </w:pPr>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16"/>
        <w:rPr/>
      </w:pPr>
      <w:bookmarkStart w:id="234" w:name="_Ref130455226"/>
      <w:bookmarkStart w:id="235" w:name="_Toc228877230"/>
      <w:r>
        <w:rPr/>
        <w:t>Особенности проведения закупки с необходимостью обеспечения заявки</w:t>
      </w:r>
      <w:bookmarkEnd w:id="234"/>
      <w:bookmarkEnd w:id="235"/>
    </w:p>
    <w:p>
      <w:pPr>
        <w:pStyle w:val="Style17"/>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17"/>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17"/>
        <w:rPr/>
      </w:pPr>
      <w:r>
        <w:rPr/>
        <w:t>Обязательства Участников, связанные с подачей заявок, обеспечиваются в форме,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 Выбор формы (способа) обеспечения из числа предусмотренных осуществляется Участниками самостоятельно.</w:t>
      </w:r>
    </w:p>
    <w:p>
      <w:pPr>
        <w:pStyle w:val="Style17"/>
        <w:rPr/>
      </w:pPr>
      <w: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Pr>
        <w:footnoteReference w:id="11"/>
      </w:r>
      <w:r>
        <w:rPr/>
        <w:t xml:space="preserve"> и на сайте ЭП,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 Оператором ЭП.</w:t>
      </w:r>
    </w:p>
    <w:p>
      <w:pPr>
        <w:pStyle w:val="Style17"/>
        <w:rPr/>
      </w:pPr>
      <w:r>
        <w:rPr/>
        <w:t>В течение 1 (одного) часа с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p>
    <w:p>
      <w:pPr>
        <w:pStyle w:val="Style17"/>
        <w:rPr/>
      </w:pPr>
      <w:r>
        <w:rPr/>
        <w:t>Блокирование денежных средств не осуществляется в случае отсутствия на специальном банковском счете Участника денежных средств в требуемом размере, либо в случае приостановления операций по такому счету в соответствии с законодательством, о чем Оператор ЭП информируется в течение 1 (одного) часа.</w:t>
      </w:r>
    </w:p>
    <w:p>
      <w:pPr>
        <w:pStyle w:val="Style17"/>
        <w:rPr/>
      </w:pPr>
      <w:r>
        <w:rPr/>
        <w:t>Если блокирование денежных средств не может быть осуществлено, Оператор ЭП возвращает заявку подавшему ее Участнику в течение 1 (одного) часа с 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p>
    <w:p>
      <w:pPr>
        <w:pStyle w:val="Style17"/>
        <w:keepNext w:val="true"/>
        <w:rPr/>
      </w:pPr>
      <w:r>
        <w:rP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 РФ, а также следующих условий:</w:t>
      </w:r>
    </w:p>
    <w:p>
      <w:pPr>
        <w:pStyle w:val="Style18"/>
        <w:rPr/>
      </w:pPr>
      <w:r>
        <w:rPr/>
        <w:t>независимая гарантия должна быть безотзывной и безусловной (гарантия по первому требованию);</w:t>
      </w:r>
    </w:p>
    <w:p>
      <w:pPr>
        <w:pStyle w:val="Style18"/>
        <w:rPr/>
      </w:pPr>
      <w:r>
        <w:rPr/>
        <w:t>сумма независимой гарантии должна быть выражена в российских рублях и составлять не менее суммы,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18"/>
        <w:rPr/>
      </w:pPr>
      <w:r>
        <w:rPr/>
        <w:t>бенефициаром в независимой гарантии должен быть указан Заказчик, принципалом – Участник, гарантом – организация, выдавшая независимую гарантию (подпункт </w:t>
      </w:r>
      <w:r>
        <w:rPr/>
        <w:fldChar w:fldCharType="begin"/>
      </w:r>
      <w:r>
        <w:rPr/>
        <w:instrText xml:space="preserve"> REF _Ref132716380 \w \h </w:instrText>
      </w:r>
      <w:r>
        <w:rPr/>
        <w:fldChar w:fldCharType="separate"/>
      </w:r>
      <w:r>
        <w:rPr/>
        <w:t>4.22.8л)</w:t>
      </w:r>
      <w:r>
        <w:rPr/>
        <w:fldChar w:fldCharType="end"/>
      </w:r>
      <w:r>
        <w:rPr/>
        <w:t>);</w:t>
      </w:r>
    </w:p>
    <w:p>
      <w:pPr>
        <w:pStyle w:val="Style18"/>
        <w:rPr/>
      </w:pPr>
      <w:r>
        <w:rPr/>
        <w:t>в независимой гарантии должно быть предусмотрено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pPr>
        <w:pStyle w:val="Style18"/>
        <w:rPr/>
      </w:pPr>
      <w:r>
        <w:rPr/>
        <w:t>в независимой гарантии должен быть указан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pPr>
        <w:pStyle w:val="Style18"/>
        <w:rPr/>
      </w:pPr>
      <w:r>
        <w:rPr/>
        <w:t>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18"/>
        <w:rPr/>
      </w:pPr>
      <w:r>
        <w:rPr/>
        <w:t>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p>
    <w:p>
      <w:pPr>
        <w:pStyle w:val="Style18"/>
        <w:rPr/>
      </w:pPr>
      <w:r>
        <w:rPr/>
        <w:t>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 </w:t>
      </w:r>
      <w:r>
        <w:rPr/>
        <w:fldChar w:fldCharType="begin"/>
      </w:r>
      <w:r>
        <w:rPr/>
        <w:instrText xml:space="preserve"> REF _Ref132716182 \r \h </w:instrText>
      </w:r>
      <w:r>
        <w:rPr/>
        <w:fldChar w:fldCharType="separate"/>
      </w:r>
      <w:r>
        <w:rPr/>
        <w:t>4.22.14</w:t>
      </w:r>
      <w:r>
        <w:rPr/>
        <w:fldChar w:fldCharType="end"/>
      </w:r>
      <w:r>
        <w:rPr/>
        <w:t>);</w:t>
      </w:r>
    </w:p>
    <w:p>
      <w:pPr>
        <w:pStyle w:val="Style18"/>
        <w:rPr/>
      </w:pPr>
      <w:r>
        <w:rPr/>
        <w:t>независимая гарантия должна содержать условия, предусмотренные Законом 223-ФЗ, а также соответствовать дополнительным требованиям к 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p>
    <w:p>
      <w:pPr>
        <w:pStyle w:val="Style18"/>
        <w:rPr/>
      </w:pPr>
      <w:r>
        <w:rPr/>
        <w:t>в независимой гарантии не должно быть условий или требований, противоречащих вышеизложенному или делающих вышеизложенное неисполнимым;</w:t>
      </w:r>
    </w:p>
    <w:p>
      <w:pPr>
        <w:pStyle w:val="Style18"/>
        <w:rPr/>
      </w:pPr>
      <w:bookmarkStart w:id="236" w:name="_Ref132716380"/>
      <w:r>
        <w:rPr/>
        <w:t>независимая гарантия должна быть выдана организацией из числа указанных в части 1 статьи 45 Закона 44-ФЗ;</w:t>
      </w:r>
      <w:bookmarkEnd w:id="236"/>
    </w:p>
    <w:p>
      <w:pPr>
        <w:pStyle w:val="Style18"/>
        <w:rPr/>
      </w:pPr>
      <w:r>
        <w:rPr/>
        <w:t>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независимой гарантии;</w:t>
      </w:r>
    </w:p>
    <w:p>
      <w:pPr>
        <w:pStyle w:val="Style18"/>
        <w:rPr/>
      </w:pPr>
      <w:r>
        <w:rPr/>
        <w:t>информация о независимой гарантии должна быть включена в реестр независимых гарантий, предусмотренный частью 8 статьи </w:t>
      </w:r>
      <w:r>
        <w:rPr>
          <w:lang w:val="en-US"/>
        </w:rPr>
        <w:t>4</w:t>
      </w:r>
      <w:r>
        <w:rPr/>
        <w:t>5 Закона 44</w:t>
        <w:noBreakHyphen/>
        <w:t>ФЗ.</w:t>
      </w:r>
    </w:p>
    <w:p>
      <w:pPr>
        <w:pStyle w:val="Style17"/>
        <w:rPr/>
      </w:pPr>
      <w:r>
        <w:rP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17"/>
        <w:rPr/>
      </w:pPr>
      <w:r>
        <w:rPr/>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pPr>
        <w:pStyle w:val="Style17"/>
        <w:rPr/>
      </w:pPr>
      <w:r>
        <w:rPr/>
        <w:t>При многолотовой закупке (подраздел </w:t>
      </w:r>
      <w:r>
        <w:rPr/>
        <w:fldChar w:fldCharType="begin"/>
      </w:r>
      <w:r>
        <w:rPr/>
        <w:instrText xml:space="preserve"> REF _Ref149317181 \n \h </w:instrText>
      </w:r>
      <w:r>
        <w:rPr/>
        <w:fldChar w:fldCharType="separate"/>
      </w:r>
      <w:r>
        <w:rPr/>
        <w:t>4.23</w:t>
      </w:r>
      <w:r>
        <w:rPr/>
        <w:fldChar w:fldCharType="end"/>
      </w:r>
      <w: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17"/>
        <w:rPr/>
      </w:pPr>
      <w:r>
        <w:rPr/>
        <w:t>Подать заявку (принять участие в закупке) могут только Участники, предоставившие надлежащее обеспечение их заявок.</w:t>
      </w:r>
    </w:p>
    <w:p>
      <w:pPr>
        <w:pStyle w:val="Style17"/>
        <w:rPr/>
      </w:pPr>
      <w:r>
        <w:rPr/>
        <w:t>Требование об обеспечении заявки в равной мере распространяется на всех Участников.</w:t>
      </w:r>
    </w:p>
    <w:p>
      <w:pPr>
        <w:pStyle w:val="Style17"/>
        <w:keepNext w:val="true"/>
        <w:rPr/>
      </w:pPr>
      <w:bookmarkStart w:id="237" w:name="_Ref132716182"/>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37"/>
    </w:p>
    <w:p>
      <w:pPr>
        <w:pStyle w:val="Style18"/>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tgtFrame="#Прил05_ФормыПобедителя">
        <w:r>
          <w:rPr>
            <w:rStyle w:val="Style5"/>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_Ref138341423 \r \h </w:instrText>
      </w:r>
      <w:r>
        <w:rPr/>
        <w:fldChar w:fldCharType="separate"/>
      </w:r>
      <w:r>
        <w:rPr/>
        <w:t>5.2</w:t>
      </w:r>
      <w:r>
        <w:rPr/>
        <w:fldChar w:fldCharType="end"/>
      </w:r>
      <w:r>
        <w:rPr/>
        <w:t>;</w:t>
      </w:r>
    </w:p>
    <w:p>
      <w:pPr>
        <w:pStyle w:val="Style18"/>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tgtFrame="#Прил02_ПроектДоговора">
        <w:r>
          <w:rPr>
            <w:rStyle w:val="Style5"/>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tgtFrame="#Прил02_ПроектДоговора">
        <w:r>
          <w:rPr>
            <w:rStyle w:val="Style5"/>
          </w:rPr>
          <w:t>Проектом договора</w:t>
        </w:r>
      </w:hyperlink>
      <w:r>
        <w:rPr/>
        <w:t>).</w:t>
      </w:r>
    </w:p>
    <w:p>
      <w:pPr>
        <w:pStyle w:val="Style17"/>
        <w:rPr/>
      </w:pPr>
      <w:r>
        <w:rPr/>
        <w:t>В случае невыполнения Победителем указанных выше обязательств Организатор вправе удержать обеспечение заявки путем обращения в 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 </w:t>
      </w:r>
      <w:r>
        <w:rPr/>
        <w:fldChar w:fldCharType="begin"/>
      </w:r>
      <w:r>
        <w:rPr/>
        <w:instrText xml:space="preserve"> REF _Ref125359973 \r \h </w:instrText>
      </w:r>
      <w:r>
        <w:rPr/>
        <w:fldChar w:fldCharType="separate"/>
      </w:r>
      <w:r>
        <w:rPr/>
        <w:t>1.2</w:t>
      </w:r>
      <w:r>
        <w:rPr/>
        <w:fldChar w:fldCharType="end"/>
      </w:r>
      <w:r>
        <w:rPr/>
        <w:t>).</w:t>
      </w:r>
    </w:p>
    <w:p>
      <w:pPr>
        <w:pStyle w:val="Style17"/>
        <w:keepNext w:val="true"/>
        <w:rPr/>
      </w:pPr>
      <w: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18"/>
        <w:rPr/>
      </w:pPr>
      <w:r>
        <w:rPr/>
        <w:t>принятия решения об отказе от проведения закупки – всем Участникам, подавшим заявки к моменту принятия такого решения;</w:t>
      </w:r>
    </w:p>
    <w:p>
      <w:pPr>
        <w:pStyle w:val="Style18"/>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18"/>
        <w:rPr/>
      </w:pPr>
      <w:r>
        <w:rPr/>
        <w:t>официального размещения итогового протокола по результатам закупки – всем Участникам, кроме Победителя;</w:t>
      </w:r>
    </w:p>
    <w:p>
      <w:pPr>
        <w:pStyle w:val="Style18"/>
        <w:rPr/>
      </w:pPr>
      <w:r>
        <w:rPr/>
        <w:t>заключения Договора по результатам закупки – Победителю, с которым заключен Договор;</w:t>
      </w:r>
    </w:p>
    <w:p>
      <w:pPr>
        <w:pStyle w:val="Style18"/>
        <w:rPr/>
      </w:pPr>
      <w:r>
        <w:rPr/>
        <w:t>признания закупки несостоявшейся – Участнику, которому обеспечение не было возвращено по иным основаниям.</w:t>
      </w:r>
    </w:p>
    <w:p>
      <w:pPr>
        <w:pStyle w:val="Style17"/>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w:t>
      </w:r>
    </w:p>
    <w:p>
      <w:pPr>
        <w:pStyle w:val="Style16"/>
        <w:rPr/>
      </w:pPr>
      <w:bookmarkStart w:id="238" w:name="_Ref149317181"/>
      <w:bookmarkStart w:id="239" w:name="_Toc228877231"/>
      <w:bookmarkStart w:id="240" w:name="_Ref130225422"/>
      <w:r>
        <w:rPr/>
        <w:t>Особенности проведения многолотовой закупки</w:t>
      </w:r>
      <w:bookmarkEnd w:id="238"/>
      <w:bookmarkEnd w:id="239"/>
      <w:bookmarkEnd w:id="240"/>
    </w:p>
    <w:p>
      <w:pPr>
        <w:pStyle w:val="Style17"/>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многолотовой закупки.</w:t>
      </w:r>
    </w:p>
    <w:p>
      <w:pPr>
        <w:pStyle w:val="Style17"/>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17"/>
        <w:rPr/>
      </w:pPr>
      <w: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rPr/>
        <w:t>указан номер конкретного лота, относятся ко всем лотам одновременно.</w:t>
      </w:r>
    </w:p>
    <w:p>
      <w:pPr>
        <w:pStyle w:val="Style17"/>
        <w:rPr/>
      </w:pPr>
      <w: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17"/>
        <w:keepNext w:val="true"/>
        <w:rPr/>
      </w:pPr>
      <w:r>
        <w:rPr/>
        <w:t>В случае подачи заявки на несколько лотов дополнительно должны быть соблюдены следующие требования:</w:t>
      </w:r>
    </w:p>
    <w:p>
      <w:pPr>
        <w:pStyle w:val="Style18"/>
        <w:rPr/>
      </w:pPr>
      <w:r>
        <w:rPr/>
        <w:t>Письмо о подаче оферты (форма 2) (</w:t>
      </w:r>
      <w:hyperlink w:anchor="Прил04_ФормыЗаявки" w:tgtFrame="#Прил04_ФормыЗаявки">
        <w:r>
          <w:rPr>
            <w:rStyle w:val="Style5"/>
          </w:rPr>
          <w:t>Приложение № 4</w:t>
        </w:r>
      </w:hyperlink>
      <w:r>
        <w:rPr/>
        <w:t>) должно содержать указание номера и названия каждого лота;</w:t>
      </w:r>
    </w:p>
    <w:p>
      <w:pPr>
        <w:pStyle w:val="Style18"/>
        <w:rPr/>
      </w:pPr>
      <w:r>
        <w:rPr/>
        <w:t xml:space="preserve">Коммерческое предложение (форма 3), Техническое предложение (форма 4), План распределения объемов поставки продукции (форма 4) – </w:t>
      </w:r>
      <w:hyperlink w:anchor="Прил04_ФормыЗаявки" w:tgtFrame="#Прил04_ФормыЗаявки">
        <w:r>
          <w:rPr>
            <w:rStyle w:val="Style5"/>
          </w:rPr>
          <w:t>Приложение № 4</w:t>
        </w:r>
      </w:hyperlink>
      <w:r>
        <w:rPr/>
        <w:t>, должны быть подготовлены отдельно по каждому из лотов с указанием номера и названия лота.</w:t>
      </w:r>
    </w:p>
    <w:p>
      <w:pPr>
        <w:pStyle w:val="Style17"/>
        <w:rPr/>
      </w:pPr>
      <w:r>
        <w:rPr/>
        <w:t>Решения, принимаемые в ходе процедуры закупки, в том числе решения в рамках рассмотрения (первых частей заявок, вторых частей заявок и ценовых предложений),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16"/>
        <w:rPr/>
      </w:pPr>
      <w:bookmarkStart w:id="241" w:name="_Ref125366312"/>
      <w:bookmarkStart w:id="242" w:name="_Toc228877232"/>
      <w:r>
        <w:rPr/>
        <w:t>Особенности проведения закупки с выбором нескольких победителей</w:t>
      </w:r>
      <w:bookmarkEnd w:id="241"/>
      <w:bookmarkEnd w:id="242"/>
    </w:p>
    <w:p>
      <w:pPr>
        <w:pStyle w:val="Style17"/>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17"/>
        <w:rPr/>
      </w:pPr>
      <w:r>
        <w:rPr/>
        <w:t>Количество победителей, которое намерен определить Организатор по итогам проведения закупки в рамках одного лота, указано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17"/>
        <w:keepNext w:val="true"/>
        <w:rPr/>
      </w:pPr>
      <w:r>
        <w:rPr/>
        <w:t>В случае намерения Организатора выбрать нескольких Победителей, может быть предусмотрен один из следующих механизмов:</w:t>
      </w:r>
    </w:p>
    <w:p>
      <w:pPr>
        <w:pStyle w:val="Style18"/>
        <w:rPr/>
      </w:pPr>
      <w:bookmarkStart w:id="243" w:name="_Ref125367291"/>
      <w:r>
        <w:rPr/>
        <w:t>выбор нескольких Победителей с целью распределения по частям общего объема потребности Заказчика между Победителями – в этом случае Участник вправе подать заявку как на весь объем лота, так и на его часть;</w:t>
      </w:r>
      <w:bookmarkEnd w:id="243"/>
    </w:p>
    <w:p>
      <w:pPr>
        <w:pStyle w:val="Style18"/>
        <w:rPr/>
      </w:pPr>
      <w:bookmarkStart w:id="244" w:name="_Ref125367298"/>
      <w:r>
        <w:rPr/>
        <w:t>выбор нескольких Победителей с целью заключения договоров на</w:t>
      </w:r>
      <w:r>
        <w:rPr>
          <w:lang w:val="en-US"/>
        </w:rPr>
        <w:t> </w:t>
      </w:r>
      <w:r>
        <w:rPr/>
        <w:t>одинаковый объем потребности с каждым из Победителей в целях последующего распределения фактического объема поставок продукции в ходе исполнения обязательств по заключенным договорам – в этом случае у Заказчика отсутствует обязанность произвести полную выборку продукции, указанную в договоре, заключаемом с каждым Победителем.</w:t>
      </w:r>
      <w:bookmarkEnd w:id="244"/>
    </w:p>
    <w:p>
      <w:pPr>
        <w:pStyle w:val="Style17"/>
        <w:rPr/>
      </w:pPr>
      <w:r>
        <w:rPr/>
        <w:t>Конкретный механизм выбора нескольких Победителей и правила распределения объемов продукции среди них установлены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17"/>
        <w:rPr/>
      </w:pPr>
      <w:r>
        <w:rPr/>
        <w:t xml:space="preserve">Заказчик вправе в одностороннем порядке расторгнуть заключенный договор с любым Победителем в случае ненадлежащего исполнения последним принятых на себя обязательств в соответствии с условиями </w:t>
      </w:r>
      <w:hyperlink w:anchor="Прил02_ПроектДоговора" w:tgtFrame="#Прил02_ПроектДоговора">
        <w:r>
          <w:rPr>
            <w:rStyle w:val="Style5"/>
          </w:rPr>
          <w:t>Проекта договора (Приложение № 2)</w:t>
        </w:r>
      </w:hyperlink>
      <w:r>
        <w:rPr/>
        <w:t>.</w:t>
      </w:r>
    </w:p>
    <w:p>
      <w:pPr>
        <w:pStyle w:val="Style17"/>
        <w:rPr/>
      </w:pPr>
      <w:r>
        <w:rPr/>
        <w:t>Порядок определения нескольких Победителей, установленный в подразделе </w:t>
      </w:r>
      <w:r>
        <w:rPr/>
        <w:fldChar w:fldCharType="begin"/>
      </w:r>
      <w:r>
        <w:rPr/>
        <w:instrText xml:space="preserve"> REF _Ref125359973 \r \h </w:instrText>
      </w:r>
      <w:r>
        <w:rPr/>
        <w:fldChar w:fldCharType="separate"/>
      </w:r>
      <w:r>
        <w:rPr/>
        <w:t>1.2</w:t>
      </w:r>
      <w:r>
        <w:rPr/>
        <w:fldChar w:fldCharType="end"/>
      </w:r>
      <w:r>
        <w:rPr/>
        <w:t>, является приоритетным по отношении к общему порядку определения Победителя, предусмотренному в подразделе </w:t>
      </w:r>
      <w:r>
        <w:rPr/>
        <w:fldChar w:fldCharType="begin"/>
      </w:r>
      <w:r>
        <w:rPr/>
        <w:instrText xml:space="preserve"> REF _Ref125367242 \w \h </w:instrText>
      </w:r>
      <w:r>
        <w:rPr/>
        <w:fldChar w:fldCharType="separate"/>
      </w:r>
      <w:r>
        <w:rPr/>
        <w:t>4.19</w:t>
      </w:r>
      <w:r>
        <w:rPr/>
        <w:fldChar w:fldCharType="end"/>
      </w:r>
      <w:r>
        <w:rPr/>
        <w:t>.</w:t>
      </w:r>
    </w:p>
    <w:p>
      <w:pPr>
        <w:pStyle w:val="Style24"/>
        <w:rPr/>
      </w:pPr>
      <w:r>
        <w:rPr/>
      </w:r>
    </w:p>
    <w:p>
      <w:pPr>
        <w:pStyle w:val="Style15"/>
        <w:rPr/>
      </w:pPr>
      <w:bookmarkStart w:id="245" w:name="_Ref126142429"/>
      <w:bookmarkStart w:id="246" w:name="_Ref130224037"/>
      <w:bookmarkStart w:id="247" w:name="_Toc228877233"/>
      <w:bookmarkStart w:id="248" w:name="_Ref125361212"/>
      <w:bookmarkStart w:id="249" w:name="_Ref125362671"/>
      <w:bookmarkStart w:id="250" w:name="_Ref125363439"/>
      <w:bookmarkStart w:id="251" w:name="_Ref125366769"/>
      <w:bookmarkStart w:id="252" w:name="_Ref125367083"/>
      <w:bookmarkStart w:id="253" w:name="_Ref125367087"/>
      <w:r>
        <w:rPr/>
        <w:t>Порядок заключения Договора</w:t>
      </w:r>
      <w:bookmarkEnd w:id="245"/>
      <w:bookmarkEnd w:id="246"/>
      <w:bookmarkEnd w:id="247"/>
      <w:bookmarkEnd w:id="248"/>
      <w:bookmarkEnd w:id="249"/>
      <w:bookmarkEnd w:id="250"/>
      <w:bookmarkEnd w:id="251"/>
      <w:bookmarkEnd w:id="252"/>
      <w:bookmarkEnd w:id="253"/>
    </w:p>
    <w:p>
      <w:pPr>
        <w:pStyle w:val="Style16"/>
        <w:rPr/>
      </w:pPr>
      <w:bookmarkStart w:id="254" w:name="_Toc228877234"/>
      <w:r>
        <w:rPr/>
        <w:t>Общие положения</w:t>
      </w:r>
      <w:bookmarkEnd w:id="254"/>
    </w:p>
    <w:p>
      <w:pPr>
        <w:pStyle w:val="Style17"/>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16"/>
        <w:rPr/>
      </w:pPr>
      <w:bookmarkStart w:id="255" w:name="_Ref138341423"/>
      <w:bookmarkStart w:id="256" w:name="_Toc228877235"/>
      <w:bookmarkStart w:id="257" w:name="_Ref125366947"/>
      <w:bookmarkStart w:id="258" w:name="_Ref125368755"/>
      <w:r>
        <w:rPr/>
        <w:t>Заключение Договора</w:t>
      </w:r>
      <w:bookmarkEnd w:id="255"/>
      <w:bookmarkEnd w:id="256"/>
      <w:bookmarkEnd w:id="257"/>
      <w:bookmarkEnd w:id="258"/>
    </w:p>
    <w:p>
      <w:pPr>
        <w:pStyle w:val="Style17"/>
        <w:rPr/>
      </w:pPr>
      <w:bookmarkStart w:id="259" w:name="_Ref125362935"/>
      <w:bookmarkStart w:id="260" w:name="_Ref130293821"/>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59"/>
      <w:bookmarkEnd w:id="260"/>
    </w:p>
    <w:p>
      <w:pPr>
        <w:pStyle w:val="Style17"/>
        <w:rPr/>
      </w:pPr>
      <w:r>
        <w:rPr/>
        <w:t>Договор не может быть заключен, если это запрещено законодательством о национальном режиме.</w:t>
      </w:r>
    </w:p>
    <w:p>
      <w:pPr>
        <w:pStyle w:val="Style17"/>
        <w:rPr/>
      </w:pPr>
      <w:bookmarkStart w:id="261" w:name="_Hlk207813671"/>
      <w:r>
        <w:rPr/>
        <w:t>При осуществлении закупки товара (в том числе поставляемого Заказчику при выполнении работ, оказании услуг) в Договор при его заключении включается информация о стране происхождения товара.</w:t>
      </w:r>
    </w:p>
    <w:p>
      <w:pPr>
        <w:pStyle w:val="Style17"/>
        <w:rPr/>
      </w:pPr>
      <w:bookmarkStart w:id="262" w:name="_Ref125363464"/>
      <w:r>
        <w:rPr/>
        <w:t xml:space="preserve">В целях </w:t>
      </w:r>
      <w:r>
        <w:rPr>
          <w:rFonts w:eastAsia="Calibri" w:cs="Times New Roman"/>
        </w:rPr>
        <w:t>обеспечения дополнительной прозрачности финансово-хозяйственной деятельности сторон при</w:t>
      </w:r>
      <w:r>
        <w:rPr/>
        <w:t xml:space="preserve"> заключения Договора </w:t>
      </w:r>
      <w:r>
        <w:rPr>
          <w:rFonts w:eastAsia="Calibri" w:cs="Times New Roman"/>
        </w:rPr>
        <w:t>в части отсутствия возможного конфликта интересов между Заказчиком и</w:t>
      </w:r>
      <w:r>
        <w:rPr/>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anchor="Прил05_ФормыПобедителя" w:tgtFrame="#Прил05_ФормыПобедителя">
        <w:r>
          <w:rPr>
            <w:rStyle w:val="Style5"/>
          </w:rPr>
          <w:t>Приложением № 5</w:t>
        </w:r>
      </w:hyperlink>
      <w:r>
        <w:rPr/>
        <w:t>, с приложением подтверждающих документов согласно перечню, установленному в Приложении 1 к указанной справке, одним из способов (на выбор):</w:t>
      </w:r>
      <w:bookmarkEnd w:id="262"/>
    </w:p>
    <w:p>
      <w:pPr>
        <w:pStyle w:val="Style18"/>
        <w:rPr/>
      </w:pPr>
      <w:r>
        <w:rPr/>
        <w:t>в бумажной форме: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(в срок не позднее 3 (трех) рабочих дней с даты официального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p>
    <w:p>
      <w:pPr>
        <w:pStyle w:val="Style18"/>
        <w:rPr/>
      </w:pPr>
      <w:r>
        <w:rPr/>
        <w:t xml:space="preserve">в электронной форме: через специально созданную на корпоративном сайте ПАО «РусГидро» учетную запись Победителя </w:t>
      </w:r>
      <w:r>
        <w:rPr>
          <w:rFonts w:eastAsia="Calibri" w:cs="Times New Roman"/>
        </w:rPr>
        <w:t>в «Личном кабинете контрагента»</w:t>
      </w:r>
      <w:r>
        <w:rPr/>
        <w:t xml:space="preserve"> (в срок не позднее 3 (трех) рабочих дней с даты получения уведомления о необходимости предоставить информацию о </w:t>
      </w:r>
      <w:r>
        <w:rPr>
          <w:rFonts w:eastAsia="Calibri" w:cs="Times New Roman"/>
        </w:rPr>
        <w:t>цепочке собственников, включая бенефициаров (в том числе конечных)</w:t>
      </w:r>
      <w:r>
        <w:rPr/>
        <w:t>. Уведомление (со ссылкой на учетную запись) направляется на указанный в заявке Победителя (в Анкете Участника (форма 5) (</w:t>
      </w:r>
      <w:hyperlink w:anchor="Прил04_ФормыЗаявки" w:tgtFrame="#Прил04_ФормыЗаявки">
        <w:r>
          <w:rPr>
            <w:rStyle w:val="Style5"/>
          </w:rPr>
          <w:t>Приложения № 4</w:t>
        </w:r>
      </w:hyperlink>
      <w:r>
        <w:rPr/>
        <w:t>)) адрес электронной почты ответственного лица)</w:t>
      </w:r>
      <w:bookmarkEnd w:id="261"/>
      <w:r>
        <w:rPr/>
        <w:t>.</w:t>
      </w:r>
    </w:p>
    <w:p>
      <w:pPr>
        <w:pStyle w:val="Style17"/>
        <w:rPr/>
      </w:pPr>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(скан-копия в формате </w:t>
      </w:r>
      <w:bookmarkStart w:id="263" w:name="_Hlk207813750"/>
      <w:r>
        <w:rPr/>
        <w:t>Portable Document Format (</w:t>
      </w:r>
      <w:r>
        <w:rPr>
          <w:lang w:val="en-US"/>
        </w:rPr>
        <w:t>pdf</w:t>
      </w:r>
      <w:r>
        <w:rPr/>
        <w:t>)</w:t>
      </w:r>
      <w:bookmarkEnd w:id="263"/>
      <w:r>
        <w:rPr/>
        <w:t xml:space="preserve">)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tgtFrame="#Прил05_ФормыПобедителя">
        <w:r>
          <w:rPr>
            <w:rStyle w:val="Style5"/>
          </w:rPr>
          <w:t>Приложением № 5</w:t>
        </w:r>
      </w:hyperlink>
      <w:r>
        <w:rPr/>
        <w:t>.</w:t>
      </w:r>
    </w:p>
    <w:p>
      <w:pPr>
        <w:pStyle w:val="Style17"/>
        <w:keepNext w:val="true"/>
        <w:rPr/>
      </w:pPr>
      <w:bookmarkStart w:id="264"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tgtFrame="#Прил03_ТребованияУчастникам">
        <w:r>
          <w:rPr>
            <w:rStyle w:val="Style5"/>
          </w:rPr>
          <w:t>Приложение № 3</w:t>
        </w:r>
      </w:hyperlink>
      <w:r>
        <w:rPr/>
        <w:t>), следующие документы (скан-копии в формате Portable Document Format (</w:t>
      </w:r>
      <w:r>
        <w:rPr>
          <w:lang w:val="en-US"/>
        </w:rPr>
        <w:t>pdf</w:t>
      </w:r>
      <w:r>
        <w:rPr/>
        <w:t>)):</w:t>
      </w:r>
      <w:bookmarkEnd w:id="264"/>
    </w:p>
    <w:p>
      <w:pPr>
        <w:pStyle w:val="Style18"/>
        <w:keepNext w:val="true"/>
        <w:rPr/>
      </w:pPr>
      <w:r>
        <w:rPr/>
        <w:t>для юридического лица:</w:t>
      </w:r>
    </w:p>
    <w:p>
      <w:pPr>
        <w:pStyle w:val="Style19"/>
        <w:rPr/>
      </w:pPr>
      <w:r>
        <w:rPr/>
        <w:t>копия устава в действующей редакции с отметкой ИФНС либо копия нотариально заверенного устава (с отметкой нотариуса);</w:t>
      </w:r>
    </w:p>
    <w:p>
      <w:pPr>
        <w:pStyle w:val="Style19"/>
        <w:rPr/>
      </w:pPr>
      <w:bookmarkStart w:id="265"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65"/>
    </w:p>
    <w:p>
      <w:pPr>
        <w:pStyle w:val="Style19"/>
        <w:rPr/>
      </w:pPr>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18"/>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18"/>
        <w:rPr/>
      </w:pPr>
      <w:r>
        <w:rPr/>
        <w:t>для физического лица: нотариально заверенная копия всех страниц документа, удостоверяющего личность (паспорта).</w:t>
      </w:r>
    </w:p>
    <w:p>
      <w:pPr>
        <w:pStyle w:val="Style17"/>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17"/>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17"/>
        <w:keepNext w:val="true"/>
        <w:rPr/>
      </w:pPr>
      <w:bookmarkStart w:id="266"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66"/>
    </w:p>
    <w:p>
      <w:pPr>
        <w:pStyle w:val="Style18"/>
        <w:rPr/>
      </w:pPr>
      <w:r>
        <w:rPr/>
        <w:t>итоговый протокол по результатам закупки;</w:t>
      </w:r>
    </w:p>
    <w:p>
      <w:pPr>
        <w:pStyle w:val="Style18"/>
        <w:rPr/>
      </w:pPr>
      <w:r>
        <w:rPr/>
        <w:t>Извещение и Документация о закупке со всеми изменениями;</w:t>
      </w:r>
    </w:p>
    <w:p>
      <w:pPr>
        <w:pStyle w:val="Style18"/>
        <w:rPr/>
      </w:pPr>
      <w:r>
        <w:rPr/>
        <w:t>заявка Победителя со всеми дополнениями и разъяснениями.</w:t>
      </w:r>
    </w:p>
    <w:p>
      <w:pPr>
        <w:pStyle w:val="Style17"/>
        <w:rPr/>
      </w:pPr>
      <w:r>
        <w:rPr/>
        <w:t>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p>
    <w:p>
      <w:pPr>
        <w:pStyle w:val="Style17"/>
        <w:rPr/>
      </w:pPr>
      <w:r>
        <w:rPr/>
        <w:t>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Заказчик с использованием функционала ЭП направляет в адрес Победителя заполненный со своей стороны проект Договора.</w:t>
      </w:r>
    </w:p>
    <w:p>
      <w:pPr>
        <w:pStyle w:val="Style17"/>
        <w:rPr/>
      </w:pPr>
      <w:bookmarkStart w:id="267" w:name="_Ref49437111"/>
      <w:r>
        <w:rPr/>
        <w:t>В случае наличия у Победителя разногласий по направленному Заказчиком проекту Договора, Победитель составляет Протокол разногласий с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в отдельном документе причин отказа учесть полностью или частично замечания, содержащиеся в протоколе разногласий Победителя.</w:t>
      </w:r>
      <w:bookmarkEnd w:id="267"/>
    </w:p>
    <w:p>
      <w:pPr>
        <w:pStyle w:val="Style17"/>
        <w:rPr/>
      </w:pPr>
      <w:bookmarkStart w:id="268" w:name="_Ref125368506"/>
      <w:r>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w:t>
      </w:r>
      <w:bookmarkStart w:id="269" w:name="_Hlk132806825"/>
      <w:r>
        <w:rPr/>
        <w:t>соответствующая информация с указанием измененных условий Договора также размещается в ЕИС (если размещение таких сведений допустимо Законом 223-ФЗ)</w:t>
      </w:r>
      <w:bookmarkEnd w:id="269"/>
      <w:r>
        <w:rPr/>
        <w:t>.</w:t>
      </w:r>
      <w:bookmarkEnd w:id="268"/>
    </w:p>
    <w:p>
      <w:pPr>
        <w:pStyle w:val="Style17"/>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16"/>
        <w:rPr/>
      </w:pPr>
      <w:bookmarkStart w:id="270" w:name="_Ref125367068"/>
      <w:bookmarkStart w:id="271" w:name="_Toc228877236"/>
      <w:r>
        <w:rPr/>
        <w:t>Уклонение Победителя от заключения Договора</w:t>
      </w:r>
      <w:bookmarkEnd w:id="270"/>
      <w:bookmarkEnd w:id="271"/>
    </w:p>
    <w:p>
      <w:pPr>
        <w:pStyle w:val="Style17"/>
        <w:keepNext w:val="true"/>
        <w:rPr/>
      </w:pPr>
      <w:r>
        <w:rPr/>
        <w:t>Если Победитель закупки:</w:t>
      </w:r>
    </w:p>
    <w:p>
      <w:pPr>
        <w:pStyle w:val="Style18"/>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18"/>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5.2.9</w:t>
      </w:r>
      <w:r>
        <w:rPr/>
        <w:fldChar w:fldCharType="end"/>
      </w:r>
      <w:r>
        <w:rPr/>
        <w:t>;</w:t>
      </w:r>
    </w:p>
    <w:p>
      <w:pPr>
        <w:pStyle w:val="Style18"/>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tgtFrame="#Прил05_ФормыПобедителя">
        <w:r>
          <w:rPr>
            <w:rStyle w:val="Style5"/>
          </w:rPr>
          <w:t>Приложение № 5</w:t>
        </w:r>
      </w:hyperlink>
      <w:r>
        <w:rPr/>
        <w:t>), с приложением подтверждающих документов;</w:t>
      </w:r>
    </w:p>
    <w:p>
      <w:pPr>
        <w:pStyle w:val="Style18"/>
        <w:rPr/>
      </w:pPr>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tgtFrame="#Прил05_ФормыПобедителя">
        <w:r>
          <w:rPr>
            <w:rStyle w:val="Style5"/>
          </w:rPr>
          <w:t>Приложением № 5</w:t>
        </w:r>
      </w:hyperlink>
      <w:r>
        <w:rPr/>
        <w:t>;</w:t>
      </w:r>
    </w:p>
    <w:p>
      <w:pPr>
        <w:pStyle w:val="Style18"/>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tgtFrame="#Прил01_ТехТребования">
        <w:r>
          <w:rPr>
            <w:rStyle w:val="Style5"/>
          </w:rPr>
          <w:t>Приложения № 1 – Технические требования</w:t>
        </w:r>
      </w:hyperlink>
      <w:r>
        <w:rPr/>
        <w:t xml:space="preserve"> (в случае установления таковых);</w:t>
      </w:r>
    </w:p>
    <w:p>
      <w:pPr>
        <w:pStyle w:val="Style18"/>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18"/>
        <w:rPr/>
      </w:pPr>
      <w:r>
        <w:rPr/>
        <w:t>не выполнит другие условия, прямо предусмотренные Документацией о закупке,</w:t>
      </w:r>
    </w:p>
    <w:p>
      <w:pPr>
        <w:pStyle w:val="Style21"/>
        <w:ind w:left="1134" w:hanging="0"/>
        <w:rPr/>
      </w:pPr>
      <w:r>
        <w:rPr/>
        <w:t>то он (по истечению установленных в подразделе </w:t>
      </w:r>
      <w:r>
        <w:rPr/>
        <w:fldChar w:fldCharType="begin"/>
      </w:r>
      <w:r>
        <w:rPr/>
        <w:instrText xml:space="preserve"> REF _Ref138341423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15"/>
        <w:rPr/>
      </w:pPr>
      <w:bookmarkStart w:id="272" w:name="_Ref125363016"/>
      <w:bookmarkStart w:id="273" w:name="_Ref125363023"/>
      <w:bookmarkStart w:id="274" w:name="_Ref125363034"/>
      <w:bookmarkStart w:id="275" w:name="_Ref125363600"/>
      <w:bookmarkStart w:id="276" w:name="_Ref125363752"/>
      <w:bookmarkStart w:id="277" w:name="_Ref125364088"/>
      <w:bookmarkStart w:id="278" w:name="_Ref125364201"/>
      <w:bookmarkStart w:id="279" w:name="_Ref125370732"/>
      <w:bookmarkStart w:id="280" w:name="_Ref125370741"/>
      <w:bookmarkStart w:id="281" w:name="_Ref125370746"/>
      <w:bookmarkStart w:id="282" w:name="_Ref125370750"/>
      <w:bookmarkStart w:id="283" w:name="_Ref125370843"/>
      <w:bookmarkStart w:id="284" w:name="Прил01_ТехТребования"/>
      <w:bookmarkStart w:id="285" w:name="_Toc228877237"/>
      <w:r>
        <w:rPr/>
        <w:t>Приложение № 1 – Технические требования</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pPr>
        <w:pStyle w:val="Style16"/>
        <w:rPr/>
      </w:pPr>
      <w:bookmarkStart w:id="286" w:name="_Toc228877238"/>
      <w:r>
        <w:rPr/>
        <w:t>Пояснения к Техническим требованиям</w:t>
      </w:r>
      <w:bookmarkEnd w:id="286"/>
    </w:p>
    <w:p>
      <w:pPr>
        <w:pStyle w:val="Style17"/>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15"/>
        <w:rPr/>
      </w:pPr>
      <w:bookmarkStart w:id="287" w:name="_Ref125361746"/>
      <w:bookmarkStart w:id="288" w:name="_Ref125363040"/>
      <w:bookmarkStart w:id="289" w:name="_Ref125363605"/>
      <w:bookmarkStart w:id="290" w:name="_Ref125363759"/>
      <w:bookmarkStart w:id="291" w:name="_Ref125364081"/>
      <w:bookmarkStart w:id="292" w:name="_Ref125364206"/>
      <w:bookmarkStart w:id="293" w:name="_Ref125370754"/>
      <w:bookmarkStart w:id="294" w:name="Прил02_ПроектДоговора"/>
      <w:bookmarkStart w:id="295" w:name="_Toc228877239"/>
      <w:r>
        <w:rPr/>
        <w:t>Приложение № 2 – Проект договора</w:t>
      </w:r>
      <w:bookmarkEnd w:id="287"/>
      <w:bookmarkEnd w:id="288"/>
      <w:bookmarkEnd w:id="289"/>
      <w:bookmarkEnd w:id="290"/>
      <w:bookmarkEnd w:id="291"/>
      <w:bookmarkEnd w:id="292"/>
      <w:bookmarkEnd w:id="293"/>
      <w:bookmarkEnd w:id="294"/>
      <w:bookmarkEnd w:id="295"/>
    </w:p>
    <w:p>
      <w:pPr>
        <w:pStyle w:val="Style16"/>
        <w:rPr/>
      </w:pPr>
      <w:bookmarkStart w:id="296" w:name="_Toc228877240"/>
      <w:r>
        <w:rPr/>
        <w:t>Пояснения к Проекту договора</w:t>
      </w:r>
      <w:bookmarkEnd w:id="296"/>
    </w:p>
    <w:p>
      <w:pPr>
        <w:pStyle w:val="Style17"/>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17"/>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_Ref132876309 \r \h </w:instrText>
      </w:r>
      <w:r>
        <w:rPr/>
        <w:fldChar w:fldCharType="separate"/>
      </w:r>
      <w:r>
        <w:rPr/>
        <w:t>1.2</w:t>
      </w:r>
      <w:r>
        <w:rPr/>
        <w:fldChar w:fldCharType="end"/>
      </w:r>
      <w:r>
        <w:rPr/>
        <w:t xml:space="preserve"> как «Некритичные пункты Проекта договора».</w:t>
      </w:r>
    </w:p>
    <w:p>
      <w:pPr>
        <w:pStyle w:val="Style17"/>
        <w:rPr/>
      </w:pPr>
      <w:r>
        <w:rPr/>
        <w:t>В соответствии с пунктом </w:t>
      </w:r>
      <w:r>
        <w:rPr/>
        <w:fldChar w:fldCharType="begin"/>
      </w:r>
      <w:r>
        <w:rPr/>
        <w:instrText xml:space="preserve"> REF _Ref49437111 \r \h </w:instrText>
      </w:r>
      <w:r>
        <w:rPr/>
        <w:fldChar w:fldCharType="separate"/>
      </w:r>
      <w:r>
        <w:rPr/>
        <w:t>5.2.12</w:t>
      </w:r>
      <w:r>
        <w:rPr/>
        <w:fldChar w:fldCharType="end"/>
      </w:r>
      <w:r>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17"/>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97" w:name="_MON_1736255517"/>
      <w:bookmarkEnd w:id="297"/>
    </w:p>
    <w:p>
      <w:pPr>
        <w:sectPr>
          <w:headerReference w:type="default" r:id="rId15"/>
          <w:headerReference w:type="first" r:id="rId16"/>
          <w:footerReference w:type="default" r:id="rId17"/>
          <w:footerReference w:type="first" r:id="rId1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1"/>
        <w:jc w:val="center"/>
        <w:rPr/>
      </w:pPr>
      <w:r>
        <w:rPr/>
        <w:drawing>
          <wp:inline distT="0" distB="0" distL="0" distR="0">
            <wp:extent cx="1019175" cy="657860"/>
            <wp:effectExtent l="0" t="0" r="0" b="0"/>
            <wp:docPr id="2" name="_x005F_x0000_i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5F_x0000_i0" descr=""/>
                    <pic:cNvPicPr>
                      <a:picLocks noChangeAspect="1" noChangeArrowheads="1"/>
                    </pic:cNvPicPr>
                  </pic:nvPicPr>
                  <pic:blipFill>
                    <a:blip r:embed="rId14"/>
                    <a:stretch>
                      <a:fillRect/>
                    </a:stretch>
                  </pic:blipFill>
                  <pic:spPr bwMode="auto">
                    <a:xfrm>
                      <a:off x="0" y="0"/>
                      <a:ext cx="1019175" cy="657860"/>
                    </a:xfrm>
                    <a:prstGeom prst="rect">
                      <a:avLst/>
                    </a:prstGeom>
                  </pic:spPr>
                </pic:pic>
              </a:graphicData>
            </a:graphic>
          </wp:inline>
        </w:drawing>
      </w:r>
    </w:p>
    <w:p>
      <w:pPr>
        <w:pStyle w:val="Style15"/>
        <w:rPr/>
      </w:pPr>
      <w:bookmarkStart w:id="298" w:name="_Ref125361494"/>
      <w:bookmarkStart w:id="299" w:name="_Ref125361908"/>
      <w:bookmarkStart w:id="300" w:name="_Ref125365476"/>
      <w:bookmarkStart w:id="301" w:name="_Ref125370013"/>
      <w:bookmarkStart w:id="302" w:name="Прил03_ТребованияУчастникам"/>
      <w:bookmarkStart w:id="303" w:name="_Toc228877241"/>
      <w:r>
        <w:rPr/>
        <w:t>Приложение № 3 – Требования к Участникам</w:t>
      </w:r>
      <w:bookmarkEnd w:id="298"/>
      <w:bookmarkEnd w:id="299"/>
      <w:bookmarkEnd w:id="300"/>
      <w:bookmarkEnd w:id="301"/>
      <w:bookmarkEnd w:id="302"/>
      <w:bookmarkEnd w:id="303"/>
    </w:p>
    <w:p>
      <w:pPr>
        <w:pStyle w:val="Style16"/>
        <w:rPr/>
      </w:pPr>
      <w:bookmarkStart w:id="304" w:name="_Toc228877242"/>
      <w:r>
        <w:rPr/>
        <w:t>Пояснения к требованиям к Участникам</w:t>
      </w:r>
      <w:bookmarkEnd w:id="304"/>
    </w:p>
    <w:p>
      <w:pPr>
        <w:pStyle w:val="Style17"/>
        <w:rPr/>
      </w:pPr>
      <w:bookmarkStart w:id="305" w:name="_Hlk125628168"/>
      <w:r>
        <w:rPr/>
        <w:t>Чтобы претендовать на победу в закупке и получение права заключить Договор с Заказчиком, Участник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305"/>
    </w:p>
    <w:p>
      <w:pPr>
        <w:pStyle w:val="Style16"/>
        <w:spacing w:before="360" w:after="120"/>
        <w:rPr/>
      </w:pPr>
      <w:bookmarkStart w:id="306" w:name="_Ref125361435"/>
      <w:bookmarkStart w:id="307" w:name="_Ref125361590"/>
      <w:bookmarkStart w:id="308" w:name="_Ref125361617"/>
      <w:bookmarkStart w:id="309" w:name="_Ref125361832"/>
      <w:bookmarkStart w:id="310" w:name="_Ref125361846"/>
      <w:bookmarkStart w:id="311" w:name="_Ref125361926"/>
      <w:bookmarkStart w:id="312" w:name="_Ref125366879"/>
      <w:bookmarkStart w:id="313" w:name="_Ref125368812"/>
      <w:bookmarkStart w:id="314" w:name="_Ref125368895"/>
      <w:bookmarkStart w:id="315" w:name="_Ref125369088"/>
      <w:bookmarkStart w:id="316" w:name="_Ref125370058"/>
      <w:bookmarkStart w:id="317" w:name="_Ref125370064"/>
      <w:bookmarkStart w:id="318" w:name="_Ref125370071"/>
      <w:bookmarkStart w:id="319" w:name="_Toc228877243"/>
      <w:r>
        <w:rPr/>
        <w:t>Обязательные требования</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tbl>
      <w:tblPr>
        <w:tblStyle w:val="1482"/>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tc>
          <w:tcPr>
            <w:tcW w:w="1128" w:type="dxa"/>
            <w:tcBorders/>
          </w:tcPr>
          <w:p>
            <w:pPr>
              <w:pStyle w:val="Style21"/>
              <w:keepNext w:val="fals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w:t>
            </w:r>
            <w:r>
              <w:rPr>
                <w:rFonts w:eastAsia="Calibri"/>
                <w:b/>
                <w:kern w:val="0"/>
                <w:sz w:val="26"/>
                <w:szCs w:val="22"/>
                <w:lang w:val="ru-RU" w:eastAsia="en-US" w:bidi="ar-SA"/>
              </w:rPr>
              <w:br/>
              <w:t>п/п</w:t>
            </w:r>
          </w:p>
        </w:tc>
        <w:tc>
          <w:tcPr>
            <w:tcW w:w="5671" w:type="dxa"/>
            <w:tcBorders/>
          </w:tcPr>
          <w:p>
            <w:pPr>
              <w:pStyle w:val="Style21"/>
              <w:keepNext w:val="fals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Требования к Участнику</w:t>
            </w:r>
          </w:p>
        </w:tc>
        <w:tc>
          <w:tcPr>
            <w:tcW w:w="8327" w:type="dxa"/>
            <w:tcBorders/>
          </w:tcPr>
          <w:p>
            <w:pPr>
              <w:pStyle w:val="Style21"/>
              <w:keepNext w:val="fals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1"/>
              <w:widowControl w:val="false"/>
              <w:numPr>
                <w:ilvl w:val="0"/>
                <w:numId w:val="3"/>
              </w:numPr>
              <w:spacing w:before="60" w:after="60"/>
              <w:ind w:left="284" w:hanging="0"/>
              <w:jc w:val="center"/>
              <w:rPr>
                <w:rFonts w:ascii="Times New Roman" w:hAnsi="Times New Roman" w:eastAsia="Calibri"/>
                <w:sz w:val="26"/>
                <w:szCs w:val="22"/>
                <w:lang w:val="ru-RU" w:eastAsia="en-US" w:bidi="ar-SA"/>
              </w:rPr>
            </w:pPr>
            <w:r>
              <w:rPr>
                <w:rFonts w:eastAsia="Calibri"/>
                <w:sz w:val="26"/>
                <w:szCs w:val="22"/>
                <w:lang w:val="ru-RU" w:eastAsia="en-US" w:bidi="ar-SA"/>
              </w:rPr>
            </w:r>
            <w:bookmarkStart w:id="320" w:name="_Ref125552433"/>
            <w:bookmarkStart w:id="321" w:name="_Ref125552433"/>
            <w:bookmarkEnd w:id="321"/>
          </w:p>
        </w:tc>
        <w:tc>
          <w:tcPr>
            <w:tcW w:w="5671"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21"/>
              <w:widowControl w:val="false"/>
              <w:numPr>
                <w:ilvl w:val="0"/>
                <w:numId w:val="15"/>
              </w:numPr>
              <w:spacing w:before="60" w:after="60"/>
              <w:ind w:left="284" w:hanging="284"/>
              <w:rPr>
                <w:rFonts w:ascii="Times New Roman" w:hAnsi="Times New Roman" w:eastAsia="Calibri"/>
                <w:sz w:val="26"/>
                <w:szCs w:val="22"/>
                <w:lang w:val="ru-RU" w:eastAsia="en-US" w:bidi="ar-SA"/>
              </w:rPr>
            </w:pPr>
            <w:r>
              <w:rPr>
                <w:rFonts w:eastAsia="Calibri"/>
                <w:kern w:val="0"/>
                <w:sz w:val="26"/>
                <w:szCs w:val="22"/>
                <w:lang w:val="ru-RU" w:eastAsia="en-US" w:bidi="ar-SA"/>
              </w:rPr>
              <w:t>В отношении гражданской правоспособности:</w:t>
            </w:r>
          </w:p>
          <w:p>
            <w:pPr>
              <w:pStyle w:val="Style21"/>
              <w:widowControl w:val="false"/>
              <w:numPr>
                <w:ilvl w:val="0"/>
                <w:numId w:val="16"/>
              </w:numPr>
              <w:spacing w:before="60" w:after="60"/>
              <w:ind w:left="568" w:hanging="284"/>
              <w:rPr>
                <w:rFonts w:ascii="Times New Roman" w:hAnsi="Times New Roman" w:eastAsia="Calibri"/>
                <w:sz w:val="26"/>
                <w:szCs w:val="22"/>
                <w:lang w:val="ru-RU" w:eastAsia="en-US" w:bidi="ar-SA"/>
              </w:rPr>
            </w:pPr>
            <w:r>
              <w:rPr>
                <w:rFonts w:eastAsia="Calibri"/>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Portable Document Format (*.pdf)) оригинала соответствующей доверенности либо ее нотариально заверенной копии (с указанием правомочий на подписание заявки);</w:t>
            </w:r>
          </w:p>
          <w:p>
            <w:pPr>
              <w:pStyle w:val="Style21"/>
              <w:widowControl w:val="false"/>
              <w:numPr>
                <w:ilvl w:val="0"/>
                <w:numId w:val="15"/>
              </w:numPr>
              <w:spacing w:before="60" w:after="60"/>
              <w:ind w:left="284" w:hanging="284"/>
              <w:rPr>
                <w:rFonts w:ascii="Times New Roman" w:hAnsi="Times New Roman" w:eastAsia="Calibri"/>
                <w:sz w:val="26"/>
                <w:szCs w:val="22"/>
                <w:lang w:val="ru-RU" w:eastAsia="en-US" w:bidi="ar-SA"/>
              </w:rPr>
            </w:pPr>
            <w:r>
              <w:rPr>
                <w:rFonts w:eastAsia="Calibri"/>
                <w:kern w:val="0"/>
                <w:sz w:val="26"/>
                <w:szCs w:val="22"/>
                <w:lang w:val="ru-RU" w:eastAsia="en-US" w:bidi="ar-SA"/>
              </w:rPr>
              <w:t>В отношении аккредитации:</w:t>
            </w:r>
          </w:p>
          <w:p>
            <w:pPr>
              <w:pStyle w:val="Style21"/>
              <w:widowControl w:val="false"/>
              <w:numPr>
                <w:ilvl w:val="0"/>
                <w:numId w:val="16"/>
              </w:numPr>
              <w:spacing w:before="60" w:after="60"/>
              <w:ind w:left="568" w:hanging="284"/>
              <w:rPr/>
            </w:pPr>
            <w:r>
              <w:rPr>
                <w:rFonts w:eastAsia="Calibri"/>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tgtFrame="#Прил04_ФормыЗаявки">
              <w:r>
                <w:rPr>
                  <w:rStyle w:val="Style5"/>
                  <w:rFonts w:eastAsia="Calibri"/>
                  <w:kern w:val="0"/>
                  <w:sz w:val="26"/>
                  <w:szCs w:val="22"/>
                  <w:lang w:val="ru-RU" w:eastAsia="en-US" w:bidi="ar-SA"/>
                </w:rPr>
                <w:t>Приложение № 4</w:t>
              </w:r>
            </w:hyperlink>
            <w:r>
              <w:rPr>
                <w:rFonts w:eastAsia="Calibri"/>
                <w:kern w:val="0"/>
                <w:sz w:val="26"/>
                <w:szCs w:val="22"/>
                <w:lang w:val="ru-RU" w:eastAsia="en-US" w:bidi="ar-SA"/>
              </w:rPr>
              <w:t>) и обновленная Заявка на аккредитацию по установленной в Документации о закупке форме (</w:t>
            </w:r>
            <w:hyperlink w:anchor="Прил10_ФормаЗаявкиНаАккредитацию" w:tgtFrame="#Прил10_ФормаЗаявкиНаАккредитацию">
              <w:r>
                <w:rPr>
                  <w:rStyle w:val="Style5"/>
                  <w:rFonts w:eastAsia="Calibri"/>
                  <w:kern w:val="0"/>
                  <w:sz w:val="26"/>
                  <w:szCs w:val="22"/>
                  <w:lang w:val="ru-RU" w:eastAsia="en-US" w:bidi="ar-SA"/>
                </w:rPr>
                <w:t>Приложение № 10</w:t>
              </w:r>
            </w:hyperlink>
            <w:r>
              <w:rPr>
                <w:rFonts w:eastAsia="Calibri"/>
                <w:kern w:val="0"/>
                <w:sz w:val="26"/>
                <w:szCs w:val="22"/>
                <w:lang w:val="ru-RU" w:eastAsia="en-US" w:bidi="ar-SA"/>
              </w:rPr>
              <w:t>);</w:t>
            </w:r>
          </w:p>
          <w:p>
            <w:pPr>
              <w:pStyle w:val="Style21"/>
              <w:widowControl w:val="false"/>
              <w:numPr>
                <w:ilvl w:val="0"/>
                <w:numId w:val="16"/>
              </w:numPr>
              <w:spacing w:before="60" w:after="60"/>
              <w:ind w:left="568" w:hanging="284"/>
              <w:rPr/>
            </w:pPr>
            <w:r>
              <w:rPr>
                <w:rFonts w:eastAsia="Calibri"/>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tgtFrame="#Прил04_ФормыЗаявки">
              <w:r>
                <w:rPr>
                  <w:rStyle w:val="Style5"/>
                  <w:rFonts w:eastAsia="Calibri"/>
                  <w:kern w:val="0"/>
                  <w:sz w:val="26"/>
                  <w:szCs w:val="22"/>
                  <w:lang w:val="ru-RU" w:eastAsia="en-US" w:bidi="ar-SA"/>
                </w:rPr>
                <w:t>Приложение № 4</w:t>
              </w:r>
            </w:hyperlink>
            <w:r>
              <w:rPr>
                <w:rFonts w:eastAsia="Calibri"/>
                <w:kern w:val="0"/>
                <w:sz w:val="26"/>
                <w:szCs w:val="22"/>
                <w:lang w:val="ru-RU" w:eastAsia="en-US" w:bidi="ar-SA"/>
              </w:rPr>
              <w:t>);</w:t>
            </w:r>
          </w:p>
          <w:p>
            <w:pPr>
              <w:pStyle w:val="Style21"/>
              <w:widowControl w:val="false"/>
              <w:numPr>
                <w:ilvl w:val="0"/>
                <w:numId w:val="16"/>
              </w:numPr>
              <w:spacing w:before="60" w:after="60"/>
              <w:ind w:left="568" w:hanging="284"/>
              <w:rPr/>
            </w:pPr>
            <w:r>
              <w:rPr>
                <w:rFonts w:eastAsia="Calibri"/>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Заявка на аккредитацию по установленной в Документации о закупке форме (</w:t>
            </w:r>
            <w:hyperlink w:anchor="Прил10_ФормаЗаявкиНаАккредитацию" w:tgtFrame="#Прил10_ФормаЗаявкиНаАккредитацию">
              <w:r>
                <w:rPr>
                  <w:rStyle w:val="Style5"/>
                  <w:rFonts w:eastAsia="Calibri"/>
                  <w:kern w:val="0"/>
                  <w:sz w:val="26"/>
                  <w:szCs w:val="22"/>
                  <w:lang w:val="ru-RU" w:eastAsia="en-US" w:bidi="ar-SA"/>
                </w:rPr>
                <w:t>Приложение № 10</w:t>
              </w:r>
            </w:hyperlink>
            <w:r>
              <w:rPr>
                <w:rFonts w:eastAsia="Calibri"/>
                <w:kern w:val="0"/>
                <w:sz w:val="26"/>
                <w:szCs w:val="22"/>
                <w:lang w:val="ru-RU" w:eastAsia="en-US" w:bidi="ar-SA"/>
              </w:rPr>
              <w:t>).</w:t>
            </w:r>
          </w:p>
          <w:p>
            <w:pPr>
              <w:pStyle w:val="Style21"/>
              <w:widowControl w:val="false"/>
              <w:spacing w:before="60" w:after="60"/>
              <w:ind w:left="284" w:hanging="0"/>
              <w:rPr>
                <w:rFonts w:ascii="Times New Roman" w:hAnsi="Times New Roman" w:eastAsia="Calibri"/>
                <w:sz w:val="26"/>
                <w:szCs w:val="22"/>
                <w:lang w:val="ru-RU" w:eastAsia="en-US" w:bidi="ar-SA"/>
              </w:rPr>
            </w:pPr>
            <w:r>
              <w:rPr>
                <w:rFonts w:eastAsia="Calibri"/>
                <w:kern w:val="0"/>
                <w:sz w:val="26"/>
                <w:szCs w:val="22"/>
                <w:lang w:val="ru-RU" w:eastAsia="en-US" w:bidi="ar-SA"/>
              </w:rPr>
              <w:t xml:space="preserve">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w:t>
            </w:r>
          </w:p>
          <w:p>
            <w:pPr>
              <w:pStyle w:val="Style21"/>
              <w:widowControl w:val="false"/>
              <w:spacing w:before="60" w:after="60"/>
              <w:ind w:left="284" w:hanging="0"/>
              <w:rPr>
                <w:rFonts w:ascii="Times New Roman" w:hAnsi="Times New Roman" w:eastAsia="Calibri"/>
                <w:sz w:val="26"/>
                <w:szCs w:val="22"/>
                <w:lang w:val="ru-RU" w:eastAsia="en-US" w:bidi="ar-SA"/>
              </w:rPr>
            </w:pPr>
            <w:r>
              <w:rPr>
                <w:rFonts w:eastAsia="Calibri"/>
                <w:kern w:val="0"/>
                <w:sz w:val="26"/>
                <w:szCs w:val="22"/>
                <w:lang w:val="ru-RU" w:eastAsia="en-US" w:bidi="ar-SA"/>
              </w:rPr>
              <w:t>Если Участник в соответствии с законодательством формирует отчетность по формам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вместе с Заявкой на аккредитацию:</w:t>
            </w:r>
          </w:p>
          <w:p>
            <w:pPr>
              <w:pStyle w:val="Style21"/>
              <w:widowControl w:val="false"/>
              <w:spacing w:before="60" w:after="60"/>
              <w:ind w:left="284" w:hanging="0"/>
              <w:rPr>
                <w:rFonts w:ascii="Times New Roman" w:hAnsi="Times New Roman" w:eastAsia="Calibri"/>
                <w:sz w:val="26"/>
                <w:szCs w:val="22"/>
                <w:lang w:val="ru-RU" w:eastAsia="en-US" w:bidi="ar-SA"/>
              </w:rPr>
            </w:pPr>
            <w:r>
              <w:rPr>
                <w:rFonts w:eastAsia="Calibri"/>
                <w:kern w:val="0"/>
                <w:sz w:val="26"/>
                <w:szCs w:val="22"/>
                <w:lang w:val="ru-RU" w:eastAsia="en-US" w:bidi="ar-SA"/>
              </w:rPr>
              <w:t>−</w:t>
            </w:r>
            <w:r>
              <w:rPr>
                <w:rFonts w:eastAsia="Calibri"/>
                <w:kern w:val="0"/>
                <w:sz w:val="26"/>
                <w:szCs w:val="22"/>
                <w:lang w:val="ru-RU" w:eastAsia="en-US" w:bidi="ar-SA"/>
              </w:rPr>
              <w:tab/>
              <w:t>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21"/>
              <w:widowControl w:val="false"/>
              <w:spacing w:before="60" w:after="60"/>
              <w:ind w:left="284" w:hanging="0"/>
              <w:rPr/>
            </w:pPr>
            <w:r>
              <w:rPr>
                <w:rFonts w:eastAsia="Calibri"/>
                <w:kern w:val="0"/>
                <w:sz w:val="26"/>
                <w:szCs w:val="22"/>
                <w:lang w:val="ru-RU" w:eastAsia="en-US" w:bidi="ar-SA"/>
              </w:rPr>
              <w:t>−</w:t>
            </w:r>
            <w:r>
              <w:rPr>
                <w:rFonts w:eastAsia="Calibri"/>
                <w:kern w:val="0"/>
                <w:sz w:val="26"/>
                <w:szCs w:val="22"/>
                <w:lang w:val="ru-RU" w:eastAsia="en-US" w:bidi="ar-SA"/>
              </w:rP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anchor="Прил11_Данные_бухотчетность" w:tgtFrame="#Прил11_Данные_бухотчетность">
              <w:r>
                <w:rPr>
                  <w:rStyle w:val="Hyperlink"/>
                  <w:rFonts w:eastAsia="Calibri"/>
                  <w:kern w:val="0"/>
                  <w:sz w:val="26"/>
                  <w:szCs w:val="22"/>
                  <w:lang w:val="ru-RU" w:eastAsia="en-US" w:bidi="ar-SA"/>
                </w:rPr>
                <w:t>Приложении № 11</w:t>
              </w:r>
            </w:hyperlink>
            <w:r>
              <w:rPr>
                <w:rFonts w:eastAsia="Calibri"/>
                <w:kern w:val="0"/>
                <w:sz w:val="26"/>
                <w:szCs w:val="22"/>
                <w:lang w:val="ru-RU" w:eastAsia="en-US" w:bidi="ar-SA"/>
              </w:rPr>
              <w:t>).</w:t>
            </w:r>
          </w:p>
          <w:p>
            <w:pPr>
              <w:pStyle w:val="Style21"/>
              <w:widowControl w:val="false"/>
              <w:spacing w:before="60" w:after="60"/>
              <w:ind w:left="284" w:hanging="0"/>
              <w:rPr>
                <w:rFonts w:ascii="Times New Roman" w:hAnsi="Times New Roman" w:eastAsia="Calibri"/>
                <w:sz w:val="26"/>
                <w:szCs w:val="22"/>
                <w:lang w:val="ru-RU" w:eastAsia="en-US" w:bidi="ar-SA"/>
              </w:rPr>
            </w:pPr>
            <w:r>
              <w:rPr>
                <w:rFonts w:eastAsia="Calibri"/>
                <w:kern w:val="0"/>
                <w:sz w:val="26"/>
                <w:szCs w:val="22"/>
                <w:lang w:val="ru-RU" w:eastAsia="en-US" w:bidi="ar-SA"/>
              </w:rPr>
              <w:t>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21"/>
              <w:widowControl w:val="false"/>
              <w:numPr>
                <w:ilvl w:val="0"/>
                <w:numId w:val="3"/>
              </w:numPr>
              <w:spacing w:before="60" w:after="60"/>
              <w:ind w:left="284" w:hanging="0"/>
              <w:jc w:val="center"/>
              <w:rPr>
                <w:rFonts w:ascii="Times New Roman" w:hAnsi="Times New Roman" w:eastAsia="Calibri"/>
                <w:sz w:val="26"/>
                <w:szCs w:val="22"/>
                <w:lang w:val="ru-RU" w:eastAsia="en-US" w:bidi="ar-SA"/>
              </w:rPr>
            </w:pPr>
            <w:r>
              <w:rPr>
                <w:rFonts w:eastAsia="Calibri"/>
                <w:sz w:val="26"/>
                <w:szCs w:val="22"/>
                <w:lang w:val="ru-RU" w:eastAsia="en-US" w:bidi="ar-SA"/>
              </w:rPr>
            </w:r>
            <w:bookmarkStart w:id="322" w:name="_Ref132893662"/>
            <w:bookmarkStart w:id="323" w:name="_Ref132893662"/>
            <w:bookmarkEnd w:id="323"/>
          </w:p>
        </w:tc>
        <w:tc>
          <w:tcPr>
            <w:tcW w:w="5671"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Предоставление документов не требуется.</w:t>
            </w:r>
          </w:p>
          <w:p>
            <w:pPr>
              <w:pStyle w:val="Style21"/>
              <w:widowControl w:val="false"/>
              <w:spacing w:before="60" w:after="60"/>
              <w:rPr>
                <w:rFonts w:ascii="Times New Roman" w:hAnsi="Times New Roman" w:eastAsia="Calibri"/>
                <w:sz w:val="26"/>
                <w:szCs w:val="22"/>
                <w:lang w:val="ru-RU" w:eastAsia="en-US" w:bidi="ar-SA"/>
              </w:rPr>
            </w:pPr>
            <w:r>
              <w:rPr>
                <w:rFonts w:eastAsia="Calibri"/>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21"/>
              <w:widowControl w:val="false"/>
              <w:numPr>
                <w:ilvl w:val="0"/>
                <w:numId w:val="3"/>
              </w:numPr>
              <w:spacing w:before="60" w:after="60"/>
              <w:ind w:left="284" w:hanging="0"/>
              <w:jc w:val="center"/>
              <w:rPr>
                <w:rFonts w:ascii="Times New Roman" w:hAnsi="Times New Roman" w:eastAsia="Calibri"/>
                <w:sz w:val="26"/>
                <w:szCs w:val="22"/>
                <w:lang w:val="ru-RU" w:eastAsia="en-US" w:bidi="ar-SA"/>
              </w:rPr>
            </w:pPr>
            <w:r>
              <w:rPr>
                <w:rFonts w:eastAsia="Calibri"/>
                <w:sz w:val="26"/>
                <w:szCs w:val="22"/>
                <w:lang w:val="ru-RU" w:eastAsia="en-US" w:bidi="ar-SA"/>
              </w:rPr>
            </w:r>
            <w:bookmarkStart w:id="324" w:name="_Ref139029906"/>
            <w:bookmarkStart w:id="325" w:name="_Ref139029906"/>
            <w:bookmarkEnd w:id="325"/>
          </w:p>
        </w:tc>
        <w:tc>
          <w:tcPr>
            <w:tcW w:w="5671"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kern w:val="0"/>
                <w:sz w:val="26"/>
                <w:szCs w:val="22"/>
                <w:lang w:val="ru-RU" w:eastAsia="en-US" w:bidi="ar-SA"/>
              </w:rPr>
              <w:footnoteReference w:id="12"/>
            </w:r>
            <w:r>
              <w:rPr>
                <w:rFonts w:eastAsia="Calibri"/>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kern w:val="0"/>
                <w:sz w:val="26"/>
                <w:szCs w:val="22"/>
                <w:lang w:val="ru-RU" w:eastAsia="en-US" w:bidi="ar-SA"/>
              </w:rPr>
              <w:footnoteReference w:id="13"/>
            </w:r>
            <w:r>
              <w:rPr>
                <w:rFonts w:eastAsia="Calibri"/>
                <w:kern w:val="0"/>
                <w:sz w:val="26"/>
                <w:szCs w:val="22"/>
                <w:lang w:val="ru-RU" w:eastAsia="en-US" w:bidi="ar-SA"/>
              </w:rPr>
              <w:t>:</w:t>
            </w:r>
          </w:p>
        </w:tc>
        <w:tc>
          <w:tcPr>
            <w:tcW w:w="8327"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Предоставление документов не требуется.</w:t>
            </w:r>
          </w:p>
          <w:p>
            <w:pPr>
              <w:pStyle w:val="Style21"/>
              <w:widowControl w:val="false"/>
              <w:spacing w:before="60" w:after="60"/>
              <w:rPr>
                <w:i/>
                <w:i/>
                <w:iCs/>
              </w:rPr>
            </w:pPr>
            <w:r>
              <w:rPr>
                <w:rFonts w:eastAsia="Calibri"/>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21"/>
              <w:widowControl w:val="false"/>
              <w:numPr>
                <w:ilvl w:val="0"/>
                <w:numId w:val="3"/>
              </w:numPr>
              <w:spacing w:before="60" w:after="60"/>
              <w:ind w:left="284" w:hanging="0"/>
              <w:jc w:val="center"/>
              <w:rPr>
                <w:rFonts w:ascii="Times New Roman" w:hAnsi="Times New Roman" w:eastAsia="Calibri"/>
                <w:sz w:val="26"/>
                <w:szCs w:val="22"/>
                <w:lang w:val="ru-RU" w:eastAsia="en-US" w:bidi="ar-SA"/>
              </w:rPr>
            </w:pPr>
            <w:r>
              <w:rPr>
                <w:rFonts w:eastAsia="Calibri"/>
                <w:sz w:val="26"/>
                <w:szCs w:val="22"/>
                <w:lang w:val="ru-RU" w:eastAsia="en-US" w:bidi="ar-SA"/>
              </w:rPr>
            </w:r>
            <w:bookmarkStart w:id="326" w:name="_Ref186184202"/>
            <w:bookmarkStart w:id="327" w:name="_Ref186184202"/>
            <w:bookmarkEnd w:id="327"/>
          </w:p>
        </w:tc>
        <w:tc>
          <w:tcPr>
            <w:tcW w:w="5671"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Если в подразделе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_Ref125359973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1.2</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21"/>
              <w:widowControl w:val="false"/>
              <w:spacing w:before="60" w:after="60"/>
              <w:rPr/>
            </w:pPr>
            <w:r>
              <w:rPr>
                <w:rFonts w:eastAsia="Calibri"/>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tgtFrame="#Прил04_ФормыЗаявки">
              <w:r>
                <w:rPr>
                  <w:rStyle w:val="Style5"/>
                  <w:rFonts w:eastAsia="Calibri"/>
                  <w:kern w:val="0"/>
                  <w:sz w:val="26"/>
                  <w:szCs w:val="22"/>
                  <w:lang w:val="ru-RU" w:eastAsia="en-US" w:bidi="ar-SA"/>
                </w:rPr>
                <w:t>Приложение № 4</w:t>
              </w:r>
            </w:hyperlink>
            <w:r>
              <w:rPr>
                <w:rFonts w:eastAsia="Calibri"/>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tgtFrame="#Прил04_ФормыЗаявки">
              <w:r>
                <w:rPr>
                  <w:rStyle w:val="Style5"/>
                  <w:rFonts w:eastAsia="Calibri"/>
                  <w:kern w:val="0"/>
                  <w:sz w:val="26"/>
                  <w:szCs w:val="22"/>
                  <w:lang w:val="ru-RU" w:eastAsia="en-US" w:bidi="ar-SA"/>
                </w:rPr>
                <w:t>Приложение № 4</w:t>
              </w:r>
            </w:hyperlink>
            <w:r>
              <w:rPr>
                <w:rFonts w:eastAsia="Calibri"/>
                <w:kern w:val="0"/>
                <w:sz w:val="26"/>
                <w:szCs w:val="22"/>
                <w:lang w:val="ru-RU" w:eastAsia="en-US" w:bidi="ar-SA"/>
              </w:rPr>
              <w:t>) соответствующих сведений.</w:t>
            </w:r>
          </w:p>
          <w:p>
            <w:pPr>
              <w:pStyle w:val="Style21"/>
              <w:widowControl w:val="false"/>
              <w:spacing w:before="60" w:after="60"/>
              <w:rPr>
                <w:i/>
                <w:i/>
                <w:iCs/>
              </w:rPr>
            </w:pPr>
            <w:r>
              <w:rPr>
                <w:rFonts w:eastAsia="Calibri"/>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r>
        <w:trPr/>
        <w:tc>
          <w:tcPr>
            <w:tcW w:w="1128" w:type="dxa"/>
            <w:tcBorders/>
          </w:tcPr>
          <w:p>
            <w:pPr>
              <w:pStyle w:val="Style21"/>
              <w:widowControl w:val="false"/>
              <w:numPr>
                <w:ilvl w:val="0"/>
                <w:numId w:val="3"/>
              </w:numPr>
              <w:spacing w:before="60" w:after="60"/>
              <w:ind w:left="284" w:hanging="0"/>
              <w:jc w:val="center"/>
              <w:rPr>
                <w:rFonts w:ascii="Times New Roman" w:hAnsi="Times New Roman" w:eastAsia="Calibri"/>
                <w:sz w:val="26"/>
                <w:szCs w:val="22"/>
                <w:lang w:val="ru-RU" w:eastAsia="en-US" w:bidi="ar-SA"/>
              </w:rPr>
            </w:pPr>
            <w:r>
              <w:rPr>
                <w:rFonts w:eastAsia="Calibri"/>
                <w:sz w:val="26"/>
                <w:szCs w:val="22"/>
                <w:lang w:val="ru-RU" w:eastAsia="en-US" w:bidi="ar-SA"/>
              </w:rPr>
            </w:r>
            <w:bookmarkStart w:id="328" w:name="_Ref186184207"/>
            <w:bookmarkStart w:id="329" w:name="_Ref186184207"/>
            <w:bookmarkEnd w:id="329"/>
          </w:p>
        </w:tc>
        <w:tc>
          <w:tcPr>
            <w:tcW w:w="5671"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Если в подразделе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_Ref125359973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1.2</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установлен режим ограничения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не должен являться иностранным лицом, при наличии заявки, соответствующей всем требованиям Документации о закупке, поданной от российского лица:</w:t>
            </w:r>
          </w:p>
        </w:tc>
        <w:tc>
          <w:tcPr>
            <w:tcW w:w="8327" w:type="dxa"/>
            <w:tcBorders/>
          </w:tcPr>
          <w:p>
            <w:pPr>
              <w:pStyle w:val="Style21"/>
              <w:widowControl w:val="false"/>
              <w:spacing w:before="60" w:after="60"/>
              <w:rPr/>
            </w:pPr>
            <w:r>
              <w:rPr>
                <w:rFonts w:eastAsia="Calibri"/>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tgtFrame="#Прил04_ФормыЗаявки">
              <w:r>
                <w:rPr>
                  <w:rStyle w:val="Style5"/>
                  <w:rFonts w:eastAsia="Calibri"/>
                  <w:kern w:val="0"/>
                  <w:sz w:val="26"/>
                  <w:szCs w:val="22"/>
                  <w:lang w:val="ru-RU" w:eastAsia="en-US" w:bidi="ar-SA"/>
                </w:rPr>
                <w:t>Приложение № 4</w:t>
              </w:r>
            </w:hyperlink>
            <w:r>
              <w:rPr>
                <w:rFonts w:eastAsia="Calibri"/>
                <w:kern w:val="0"/>
                <w:sz w:val="26"/>
                <w:szCs w:val="22"/>
                <w:lang w:val="ru-RU" w:eastAsia="en-US" w:bidi="ar-SA"/>
              </w:rPr>
              <w:t>), а также указание Участником в составе заявки в Коммерческом предложении (форма 3) (</w:t>
            </w:r>
            <w:hyperlink w:anchor="Прил04_ФормыЗаявки" w:tgtFrame="#Прил04_ФормыЗаявки">
              <w:r>
                <w:rPr>
                  <w:rStyle w:val="Style5"/>
                  <w:rFonts w:eastAsia="Calibri"/>
                  <w:kern w:val="0"/>
                  <w:sz w:val="26"/>
                  <w:szCs w:val="22"/>
                  <w:lang w:val="ru-RU" w:eastAsia="en-US" w:bidi="ar-SA"/>
                </w:rPr>
                <w:t>Приложение № 4</w:t>
              </w:r>
            </w:hyperlink>
            <w:r>
              <w:rPr>
                <w:rFonts w:eastAsia="Calibri"/>
                <w:kern w:val="0"/>
                <w:sz w:val="26"/>
                <w:szCs w:val="22"/>
                <w:lang w:val="ru-RU" w:eastAsia="en-US" w:bidi="ar-SA"/>
              </w:rPr>
              <w:t>) соответствующих сведений.</w:t>
            </w:r>
          </w:p>
          <w:p>
            <w:pPr>
              <w:pStyle w:val="Style21"/>
              <w:widowControl w:val="false"/>
              <w:spacing w:before="60" w:after="60"/>
              <w:rPr>
                <w:i/>
                <w:i/>
                <w:iCs/>
              </w:rPr>
            </w:pPr>
            <w:r>
              <w:rPr>
                <w:rFonts w:eastAsia="Calibri"/>
                <w:i/>
                <w:iCs/>
                <w:kern w:val="0"/>
                <w:sz w:val="26"/>
                <w:szCs w:val="22"/>
                <w:lang w:val="ru-RU" w:eastAsia="en-US" w:bidi="ar-SA"/>
              </w:rPr>
              <w:t>(В рамках рассмотрения заявок Организатор проверяет на соответствие данному требованию на основании сведений, размещенных на официальных сервисах ФНС России в сети интернет (в отношении иных стран ЕАЭС – на аналогичных официальных сервисах данных стран).)</w:t>
            </w:r>
          </w:p>
        </w:tc>
      </w:tr>
    </w:tbl>
    <w:p>
      <w:pPr>
        <w:pStyle w:val="Style16"/>
        <w:spacing w:before="360" w:after="120"/>
        <w:rPr/>
      </w:pPr>
      <w:bookmarkStart w:id="330" w:name="_Ref125361442"/>
      <w:bookmarkStart w:id="331" w:name="_Ref125361633"/>
      <w:bookmarkStart w:id="332" w:name="_Ref125361671"/>
      <w:bookmarkStart w:id="333" w:name="_Ref125361869"/>
      <w:bookmarkStart w:id="334" w:name="_Ref125361937"/>
      <w:bookmarkStart w:id="335" w:name="_Ref125365459"/>
      <w:bookmarkStart w:id="336" w:name="_Ref125367521"/>
      <w:bookmarkStart w:id="337" w:name="_Ref125367539"/>
      <w:bookmarkStart w:id="338" w:name="_Ref125368818"/>
      <w:bookmarkStart w:id="339" w:name="_Ref125368901"/>
      <w:bookmarkStart w:id="340" w:name="_Ref125368916"/>
      <w:bookmarkStart w:id="341" w:name="_Ref125369099"/>
      <w:bookmarkStart w:id="342" w:name="_Ref125370079"/>
      <w:bookmarkStart w:id="343" w:name="_Ref125709153"/>
      <w:bookmarkStart w:id="344" w:name="_Ref125709250"/>
      <w:bookmarkStart w:id="345" w:name="_Ref125709401"/>
      <w:bookmarkStart w:id="346" w:name="_Ref125709888"/>
      <w:bookmarkStart w:id="347" w:name="_Toc228877244"/>
      <w:r>
        <w:rPr/>
        <w:t>Специальные требования</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tbl>
      <w:tblPr>
        <w:tblStyle w:val="1482"/>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tc>
          <w:tcPr>
            <w:tcW w:w="1128" w:type="dxa"/>
            <w:tcBorders/>
          </w:tcPr>
          <w:p>
            <w:pPr>
              <w:pStyle w:val="Style21"/>
              <w:keepNext w:val="fals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w:t>
            </w:r>
            <w:r>
              <w:rPr>
                <w:rFonts w:eastAsia="Calibri"/>
                <w:b/>
                <w:kern w:val="0"/>
                <w:sz w:val="26"/>
                <w:szCs w:val="22"/>
                <w:lang w:val="ru-RU" w:eastAsia="en-US" w:bidi="ar-SA"/>
              </w:rPr>
              <w:br/>
              <w:t>п/п</w:t>
            </w:r>
          </w:p>
        </w:tc>
        <w:tc>
          <w:tcPr>
            <w:tcW w:w="5671" w:type="dxa"/>
            <w:tcBorders/>
          </w:tcPr>
          <w:p>
            <w:pPr>
              <w:pStyle w:val="Style21"/>
              <w:keepNext w:val="fals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Требования к Участнику</w:t>
            </w:r>
          </w:p>
        </w:tc>
        <w:tc>
          <w:tcPr>
            <w:tcW w:w="8327" w:type="dxa"/>
            <w:tcBorders/>
          </w:tcPr>
          <w:p>
            <w:pPr>
              <w:pStyle w:val="Style21"/>
              <w:keepNext w:val="fals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1"/>
              <w:widowControl w:val="false"/>
              <w:numPr>
                <w:ilvl w:val="0"/>
                <w:numId w:val="4"/>
              </w:numPr>
              <w:spacing w:before="60" w:after="60"/>
              <w:ind w:left="284"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5671" w:type="dxa"/>
            <w:tcBorders/>
          </w:tcPr>
          <w:p>
            <w:pPr>
              <w:pStyle w:val="Style24"/>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Специальные требования не установлены.</w:t>
            </w:r>
          </w:p>
          <w:p>
            <w:pPr>
              <w:pStyle w:val="Style24"/>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tc>
        <w:tc>
          <w:tcPr>
            <w:tcW w:w="8327" w:type="dxa"/>
            <w:tcBorders/>
          </w:tcPr>
          <w:p>
            <w:pPr>
              <w:pStyle w:val="Style24"/>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Специальные требования не установлены.</w:t>
            </w:r>
          </w:p>
          <w:p>
            <w:pPr>
              <w:pStyle w:val="Style24"/>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tc>
      </w:tr>
    </w:tbl>
    <w:p>
      <w:pPr>
        <w:pStyle w:val="Style16"/>
        <w:spacing w:before="360" w:after="120"/>
        <w:rPr/>
      </w:pPr>
      <w:bookmarkStart w:id="348" w:name="_Ref125361823"/>
      <w:bookmarkStart w:id="349" w:name="_Ref125362031"/>
      <w:bookmarkStart w:id="350" w:name="_Ref125369117"/>
      <w:bookmarkStart w:id="351" w:name="_Ref125370173"/>
      <w:bookmarkStart w:id="352" w:name="_Ref125370180"/>
      <w:bookmarkStart w:id="353" w:name="_Ref125370209"/>
      <w:bookmarkStart w:id="354" w:name="_Ref125709777"/>
      <w:bookmarkStart w:id="355" w:name="_Ref125709973"/>
      <w:bookmarkStart w:id="356" w:name="_Toc228877245"/>
      <w:bookmarkStart w:id="357" w:name="_Toc224743259"/>
      <w:bookmarkStart w:id="358" w:name="_Toc224743264"/>
      <w:bookmarkStart w:id="359" w:name="_Toc224743268"/>
      <w:bookmarkEnd w:id="357"/>
      <w:bookmarkEnd w:id="358"/>
      <w:bookmarkEnd w:id="359"/>
      <w:r>
        <w:rPr/>
        <w:t>Дополнительные требования к Генеральным подрядчикам</w:t>
      </w:r>
      <w:bookmarkEnd w:id="348"/>
      <w:bookmarkEnd w:id="349"/>
      <w:bookmarkEnd w:id="350"/>
      <w:bookmarkEnd w:id="351"/>
      <w:bookmarkEnd w:id="352"/>
      <w:bookmarkEnd w:id="353"/>
      <w:bookmarkEnd w:id="354"/>
      <w:bookmarkEnd w:id="355"/>
      <w:bookmarkEnd w:id="356"/>
    </w:p>
    <w:tbl>
      <w:tblPr>
        <w:tblStyle w:val="1482"/>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tc>
          <w:tcPr>
            <w:tcW w:w="1128" w:type="dxa"/>
            <w:tcBorders/>
          </w:tcPr>
          <w:p>
            <w:pPr>
              <w:pStyle w:val="Style21"/>
              <w:keepNext w:val="fals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w:t>
            </w:r>
            <w:r>
              <w:rPr>
                <w:rFonts w:eastAsia="Calibri"/>
                <w:b/>
                <w:kern w:val="0"/>
                <w:sz w:val="26"/>
                <w:szCs w:val="22"/>
                <w:lang w:val="ru-RU" w:eastAsia="en-US" w:bidi="ar-SA"/>
              </w:rPr>
              <w:br/>
              <w:t>п/п</w:t>
            </w:r>
          </w:p>
        </w:tc>
        <w:tc>
          <w:tcPr>
            <w:tcW w:w="5671" w:type="dxa"/>
            <w:tcBorders/>
          </w:tcPr>
          <w:p>
            <w:pPr>
              <w:pStyle w:val="Style21"/>
              <w:keepNext w:val="fals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Требования к Генеральному подрядчику</w:t>
            </w:r>
          </w:p>
        </w:tc>
        <w:tc>
          <w:tcPr>
            <w:tcW w:w="8327" w:type="dxa"/>
            <w:tcBorders/>
          </w:tcPr>
          <w:p>
            <w:pPr>
              <w:pStyle w:val="Style21"/>
              <w:keepNext w:val="fals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1"/>
              <w:widowControl w:val="false"/>
              <w:numPr>
                <w:ilvl w:val="0"/>
                <w:numId w:val="5"/>
              </w:numPr>
              <w:spacing w:before="60" w:after="60"/>
              <w:ind w:left="284" w:hanging="0"/>
              <w:jc w:val="center"/>
              <w:rPr>
                <w:rFonts w:ascii="Times New Roman" w:hAnsi="Times New Roman" w:eastAsia="Calibri"/>
                <w:sz w:val="26"/>
                <w:szCs w:val="22"/>
                <w:lang w:val="ru-RU" w:eastAsia="en-US" w:bidi="ar-SA"/>
              </w:rPr>
            </w:pPr>
            <w:r>
              <w:rPr>
                <w:rFonts w:eastAsia="Calibri"/>
                <w:sz w:val="26"/>
                <w:szCs w:val="22"/>
                <w:lang w:val="ru-RU" w:eastAsia="en-US" w:bidi="ar-SA"/>
              </w:rPr>
            </w:r>
            <w:bookmarkStart w:id="360" w:name="_Ref125370187"/>
            <w:bookmarkStart w:id="361" w:name="_Ref125370187"/>
            <w:bookmarkEnd w:id="361"/>
          </w:p>
        </w:tc>
        <w:tc>
          <w:tcPr>
            <w:tcW w:w="5671"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21"/>
              <w:widowControl w:val="false"/>
              <w:spacing w:before="60" w:after="60"/>
              <w:rPr/>
            </w:pPr>
            <w:r>
              <w:rPr>
                <w:rFonts w:eastAsia="Calibri"/>
                <w:kern w:val="0"/>
                <w:sz w:val="26"/>
                <w:szCs w:val="22"/>
                <w:lang w:val="ru-RU" w:eastAsia="en-US" w:bidi="ar-SA"/>
              </w:rPr>
              <w:t>Техническое предложение (форма 4) (</w:t>
            </w:r>
            <w:hyperlink w:anchor="Прил04_ФормыЗаявки" w:tgtFrame="#Прил04_ФормыЗаявки">
              <w:r>
                <w:rPr>
                  <w:rStyle w:val="Style5"/>
                  <w:rFonts w:eastAsia="Calibri"/>
                  <w:kern w:val="0"/>
                  <w:sz w:val="26"/>
                  <w:szCs w:val="22"/>
                  <w:lang w:val="ru-RU" w:eastAsia="en-US" w:bidi="ar-SA"/>
                </w:rPr>
                <w:t>Приложение № 4</w:t>
              </w:r>
            </w:hyperlink>
            <w:r>
              <w:rPr>
                <w:rFonts w:eastAsia="Calibri"/>
                <w:kern w:val="0"/>
                <w:sz w:val="26"/>
                <w:szCs w:val="22"/>
                <w:lang w:val="ru-RU" w:eastAsia="en-US" w:bidi="ar-SA"/>
              </w:rPr>
              <w:t>), содержащие План распределения объемов поставки продукции;</w:t>
            </w:r>
          </w:p>
        </w:tc>
      </w:tr>
      <w:tr>
        <w:trPr/>
        <w:tc>
          <w:tcPr>
            <w:tcW w:w="1128" w:type="dxa"/>
            <w:tcBorders/>
          </w:tcPr>
          <w:p>
            <w:pPr>
              <w:pStyle w:val="Style21"/>
              <w:widowControl w:val="false"/>
              <w:numPr>
                <w:ilvl w:val="0"/>
                <w:numId w:val="5"/>
              </w:numPr>
              <w:spacing w:before="60" w:after="60"/>
              <w:ind w:left="284" w:hanging="0"/>
              <w:jc w:val="center"/>
              <w:rPr>
                <w:rFonts w:ascii="Times New Roman" w:hAnsi="Times New Roman" w:eastAsia="Calibri"/>
                <w:sz w:val="26"/>
                <w:szCs w:val="22"/>
                <w:lang w:val="ru-RU" w:eastAsia="en-US" w:bidi="ar-SA"/>
              </w:rPr>
            </w:pPr>
            <w:r>
              <w:rPr>
                <w:rFonts w:eastAsia="Calibri"/>
                <w:sz w:val="26"/>
                <w:szCs w:val="22"/>
                <w:lang w:val="ru-RU" w:eastAsia="en-US" w:bidi="ar-SA"/>
              </w:rPr>
            </w:r>
            <w:bookmarkStart w:id="362" w:name="_Ref125370193"/>
            <w:bookmarkStart w:id="363" w:name="_Ref125370193"/>
            <w:bookmarkEnd w:id="363"/>
          </w:p>
        </w:tc>
        <w:tc>
          <w:tcPr>
            <w:tcW w:w="5671" w:type="dxa"/>
            <w:tcBorders/>
          </w:tcPr>
          <w:p>
            <w:pPr>
              <w:pStyle w:val="Style21"/>
              <w:widowControl w:val="false"/>
              <w:spacing w:before="60" w:after="60"/>
              <w:rPr/>
            </w:pPr>
            <w:r>
              <w:rPr>
                <w:rFonts w:eastAsia="Calibri"/>
                <w:kern w:val="0"/>
                <w:sz w:val="26"/>
                <w:szCs w:val="22"/>
                <w:lang w:val="ru-RU" w:eastAsia="en-US" w:bidi="ar-SA"/>
              </w:rPr>
              <w:t>Соответствие каждого субподрядчика установленным требованиям (с учетом пункта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_Ref125368863 \w \h </w:instrText>
            </w:r>
            <w:r>
              <w:rPr>
                <w:sz w:val="26"/>
                <w:kern w:val="0"/>
                <w:szCs w:val="22"/>
                <w:rFonts w:eastAsia="Calibri"/>
                <w:lang w:val="ru-RU" w:eastAsia="en-US" w:bidi="ar-SA"/>
              </w:rPr>
              <w:fldChar w:fldCharType="separate"/>
            </w:r>
            <w:r>
              <w:rPr>
                <w:sz w:val="26"/>
                <w:kern w:val="0"/>
                <w:szCs w:val="22"/>
                <w:rFonts w:eastAsia="Calibri"/>
                <w:lang w:val="ru-RU" w:eastAsia="en-US" w:bidi="ar-SA"/>
              </w:rPr>
            </w:r>
            <w:r>
              <w:rPr>
                <w:sz w:val="26"/>
                <w:kern w:val="0"/>
                <w:szCs w:val="22"/>
                <w:rFonts w:eastAsia="Calibri"/>
                <w:lang w:val="ru-RU" w:eastAsia="en-US" w:bidi="ar-SA"/>
              </w:rPr>
              <w:fldChar w:fldCharType="end"/>
            </w:r>
            <w:r>
              <w:rPr>
                <w:rFonts w:eastAsia="Calibri"/>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tgtFrame="#Прил04_ФормыЗаявки">
              <w:r>
                <w:rPr>
                  <w:rStyle w:val="Style5"/>
                  <w:rFonts w:eastAsia="Calibri"/>
                  <w:kern w:val="0"/>
                  <w:sz w:val="26"/>
                  <w:szCs w:val="22"/>
                  <w:lang w:val="ru-RU" w:eastAsia="en-US" w:bidi="ar-SA"/>
                </w:rPr>
                <w:t>Приложение № 4</w:t>
              </w:r>
            </w:hyperlink>
            <w:r>
              <w:rPr>
                <w:rFonts w:eastAsia="Calibri"/>
                <w:kern w:val="0"/>
                <w:sz w:val="26"/>
                <w:szCs w:val="22"/>
                <w:lang w:val="ru-RU" w:eastAsia="en-US" w:bidi="ar-SA"/>
              </w:rPr>
              <w:t>):</w:t>
            </w:r>
          </w:p>
        </w:tc>
        <w:tc>
          <w:tcPr>
            <w:tcW w:w="8327"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Сведения и документы, аналогичные установленным в подразделах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_Ref125361435 \w \h </w:instrText>
            </w:r>
            <w:r>
              <w:rPr>
                <w:sz w:val="26"/>
                <w:kern w:val="0"/>
                <w:szCs w:val="22"/>
                <w:rFonts w:eastAsia="Calibri"/>
                <w:lang w:val="ru-RU" w:eastAsia="en-US" w:bidi="ar-SA"/>
              </w:rPr>
              <w:fldChar w:fldCharType="separate"/>
            </w:r>
            <w:r>
              <w:rPr>
                <w:sz w:val="26"/>
                <w:kern w:val="0"/>
                <w:szCs w:val="22"/>
                <w:rFonts w:eastAsia="Calibri"/>
                <w:lang w:val="ru-RU" w:eastAsia="en-US" w:bidi="ar-SA"/>
              </w:rPr>
              <w:t>8.2</w:t>
            </w:r>
            <w:r>
              <w:rPr>
                <w:sz w:val="26"/>
                <w:kern w:val="0"/>
                <w:szCs w:val="22"/>
                <w:rFonts w:eastAsia="Calibri"/>
                <w:lang w:val="ru-RU" w:eastAsia="en-US" w:bidi="ar-SA"/>
              </w:rPr>
              <w:fldChar w:fldCharType="end"/>
            </w:r>
            <w:r>
              <w:rPr>
                <w:rFonts w:eastAsia="Calibri"/>
                <w:kern w:val="0"/>
                <w:sz w:val="26"/>
                <w:szCs w:val="22"/>
                <w:lang w:val="ru-RU" w:eastAsia="en-US" w:bidi="ar-SA"/>
              </w:rPr>
              <w:t> –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_Ref125361442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8.3</w:t>
            </w:r>
            <w:r>
              <w:rPr>
                <w:sz w:val="26"/>
                <w:kern w:val="0"/>
                <w:szCs w:val="22"/>
                <w:rFonts w:eastAsia="Calibri"/>
                <w:lang w:val="ru-RU" w:eastAsia="en-US" w:bidi="ar-SA"/>
              </w:rPr>
              <w:fldChar w:fldCharType="end"/>
            </w:r>
            <w:r>
              <w:rPr>
                <w:rFonts w:eastAsia="Calibri"/>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21"/>
              <w:widowControl w:val="false"/>
              <w:numPr>
                <w:ilvl w:val="0"/>
                <w:numId w:val="5"/>
              </w:numPr>
              <w:spacing w:before="60" w:after="60"/>
              <w:ind w:left="284" w:hanging="0"/>
              <w:jc w:val="center"/>
              <w:rPr>
                <w:rFonts w:ascii="Times New Roman" w:hAnsi="Times New Roman" w:eastAsia="Calibri"/>
                <w:sz w:val="26"/>
                <w:szCs w:val="22"/>
                <w:lang w:val="ru-RU" w:eastAsia="en-US" w:bidi="ar-SA"/>
              </w:rPr>
            </w:pPr>
            <w:r>
              <w:rPr>
                <w:rFonts w:eastAsia="Calibri"/>
                <w:sz w:val="26"/>
                <w:szCs w:val="22"/>
                <w:lang w:val="ru-RU" w:eastAsia="en-US" w:bidi="ar-SA"/>
              </w:rPr>
            </w:r>
            <w:bookmarkStart w:id="364" w:name="_Ref125553847"/>
            <w:bookmarkStart w:id="365" w:name="_Ref125553847"/>
            <w:bookmarkEnd w:id="365"/>
          </w:p>
        </w:tc>
        <w:tc>
          <w:tcPr>
            <w:tcW w:w="5671" w:type="dxa"/>
            <w:tcBorders/>
          </w:tcPr>
          <w:p>
            <w:pPr>
              <w:pStyle w:val="Style24"/>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Дополнительные требования не установлены.</w:t>
            </w:r>
          </w:p>
          <w:p>
            <w:pPr>
              <w:pStyle w:val="Style24"/>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tc>
        <w:tc>
          <w:tcPr>
            <w:tcW w:w="8327" w:type="dxa"/>
            <w:tcBorders/>
          </w:tcPr>
          <w:p>
            <w:pPr>
              <w:pStyle w:val="Style24"/>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Дополнительные требования не установлены.</w:t>
            </w:r>
          </w:p>
          <w:p>
            <w:pPr>
              <w:pStyle w:val="Style24"/>
              <w:widowControl w:val="false"/>
              <w:spacing w:before="60" w:after="60"/>
              <w:rPr>
                <w:rFonts w:ascii="Times New Roman" w:hAnsi="Times New Roman" w:eastAsia="Calibri"/>
                <w:sz w:val="26"/>
                <w:szCs w:val="22"/>
                <w:lang w:val="ru-RU" w:eastAsia="en-US" w:bidi="ar-SA"/>
              </w:rPr>
            </w:pPr>
            <w:r>
              <w:rPr>
                <w:rFonts w:eastAsia="Calibri"/>
                <w:sz w:val="26"/>
                <w:szCs w:val="22"/>
                <w:lang w:val="ru-RU" w:eastAsia="en-US" w:bidi="ar-SA"/>
              </w:rPr>
            </w:r>
          </w:p>
        </w:tc>
      </w:tr>
    </w:tbl>
    <w:p>
      <w:pPr>
        <w:sectPr>
          <w:headerReference w:type="default" r:id="rId19"/>
          <w:headerReference w:type="first" r:id="rId20"/>
          <w:footerReference w:type="default" r:id="rId21"/>
          <w:footerReference w:type="first" r:id="rId2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15"/>
        <w:rPr/>
      </w:pPr>
      <w:bookmarkStart w:id="366" w:name="_Toc228877246"/>
      <w:bookmarkStart w:id="367" w:name="Прил04_ФормыЗаявки"/>
      <w:bookmarkEnd w:id="367"/>
      <w:r>
        <w:rPr/>
        <w:t>Приложение № 4 – Образцы форм документов, включаемых в состав заявки</w:t>
      </w:r>
      <w:bookmarkEnd w:id="366"/>
    </w:p>
    <w:p>
      <w:pPr>
        <w:pStyle w:val="Style16"/>
        <w:rPr/>
      </w:pPr>
      <w:bookmarkStart w:id="368" w:name="_Toc228877247"/>
      <w:r>
        <w:rPr/>
        <w:t>Пояснения к Образцам форм документов, включаемых в состав заявки</w:t>
      </w:r>
      <w:bookmarkEnd w:id="368"/>
    </w:p>
    <w:p>
      <w:pPr>
        <w:pStyle w:val="Style17"/>
        <w:rPr/>
      </w:pPr>
      <w:r>
        <w:rPr/>
        <w:t xml:space="preserve">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 </w:t>
      </w:r>
      <w:bookmarkStart w:id="369" w:name="_Hlk207814348"/>
      <w:r>
        <w:rPr/>
        <w:t>Участник при подготовке заявки обязан придерживаться установленных форм документов</w:t>
      </w:r>
      <w:bookmarkEnd w:id="369"/>
      <w:r>
        <w:rPr/>
        <w:t>.</w:t>
      </w:r>
    </w:p>
    <w:p>
      <w:pPr>
        <w:pStyle w:val="Style15"/>
        <w:rPr/>
      </w:pPr>
      <w:bookmarkStart w:id="370" w:name="_Toc228877248"/>
      <w:bookmarkStart w:id="371" w:name="Прил05_ФормыПобедителя"/>
      <w:bookmarkEnd w:id="371"/>
      <w:r>
        <w:rPr/>
        <w:t>Приложение № 5 – Образцы форм документов, предоставляемых Победителем</w:t>
      </w:r>
      <w:bookmarkEnd w:id="370"/>
    </w:p>
    <w:p>
      <w:pPr>
        <w:pStyle w:val="Style16"/>
        <w:rPr/>
      </w:pPr>
      <w:bookmarkStart w:id="372" w:name="_Toc228877249"/>
      <w:r>
        <w:rPr/>
        <w:t>Пояснения к Образцам форм документов, предоставляемых Победителем</w:t>
      </w:r>
      <w:bookmarkEnd w:id="372"/>
    </w:p>
    <w:p>
      <w:pPr>
        <w:pStyle w:val="Style17"/>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16"/>
        <w:rPr/>
      </w:pPr>
      <w:bookmarkStart w:id="373" w:name="_Ref130395470"/>
      <w:bookmarkStart w:id="374" w:name="_Toc228877250"/>
      <w:r>
        <w:rPr/>
        <w:t>Форма справки «Сведения о цепочке собственников, включая бенефициаров (в том числе конечных)»</w:t>
      </w:r>
      <w:bookmarkEnd w:id="373"/>
      <w:bookmarkEnd w:id="374"/>
    </w:p>
    <w:p>
      <w:pPr>
        <w:pStyle w:val="Style17"/>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17"/>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375" w:name="_MON_1805621314"/>
    </w:p>
    <w:p>
      <w:pPr>
        <w:pStyle w:val="Style21"/>
        <w:jc w:val="center"/>
        <w:rPr/>
      </w:pPr>
      <w:bookmarkStart w:id="376" w:name="_Hlk207814364"/>
      <w:bookmarkEnd w:id="375"/>
      <w:r>
        <w:rPr/>
        <w:drawing>
          <wp:inline distT="0" distB="0" distL="0" distR="0">
            <wp:extent cx="1147445" cy="734060"/>
            <wp:effectExtent l="0" t="0" r="0" b="0"/>
            <wp:docPr id="3" name="_x005F_x0000_i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x005F_x0000_i1" descr=""/>
                    <pic:cNvPicPr>
                      <a:picLocks noChangeAspect="1" noChangeArrowheads="1"/>
                    </pic:cNvPicPr>
                  </pic:nvPicPr>
                  <pic:blipFill>
                    <a:blip r:embed="rId23"/>
                    <a:stretch>
                      <a:fillRect/>
                    </a:stretch>
                  </pic:blipFill>
                  <pic:spPr bwMode="auto">
                    <a:xfrm>
                      <a:off x="0" y="0"/>
                      <a:ext cx="1147445" cy="734060"/>
                    </a:xfrm>
                    <a:prstGeom prst="rect">
                      <a:avLst/>
                    </a:prstGeom>
                  </pic:spPr>
                </pic:pic>
              </a:graphicData>
            </a:graphic>
          </wp:inline>
        </w:drawing>
      </w:r>
      <w:bookmarkEnd w:id="376"/>
    </w:p>
    <w:p>
      <w:pPr>
        <w:pStyle w:val="Style16"/>
        <w:rPr/>
      </w:pPr>
      <w:bookmarkStart w:id="377" w:name="_Ref130395475"/>
      <w:bookmarkStart w:id="378" w:name="_Toc228877251"/>
      <w:r>
        <w:rPr/>
        <w:t>Форма «Заверение об обстоятельствах»</w:t>
      </w:r>
      <w:bookmarkEnd w:id="377"/>
      <w:bookmarkEnd w:id="378"/>
    </w:p>
    <w:p>
      <w:pPr>
        <w:pStyle w:val="Style17"/>
        <w:rPr/>
      </w:pPr>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17"/>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17"/>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17"/>
        <w:keepNext w:val="true"/>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379" w:name="_MON_1741074184"/>
    </w:p>
    <w:p>
      <w:pPr>
        <w:pStyle w:val="Style21"/>
        <w:spacing w:before="120" w:after="120"/>
        <w:jc w:val="center"/>
        <w:rPr/>
      </w:pPr>
      <w:bookmarkEnd w:id="379"/>
      <w:r>
        <w:rPr/>
        <w:drawing>
          <wp:inline distT="0" distB="0" distL="0" distR="0">
            <wp:extent cx="1019175" cy="657860"/>
            <wp:effectExtent l="0" t="0" r="0" b="0"/>
            <wp:docPr id="4" name="_x005F_x0000_i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_x005F_x0000_i2" descr=""/>
                    <pic:cNvPicPr>
                      <a:picLocks noChangeAspect="1" noChangeArrowheads="1"/>
                    </pic:cNvPicPr>
                  </pic:nvPicPr>
                  <pic:blipFill>
                    <a:blip r:embed="rId24"/>
                    <a:stretch>
                      <a:fillRect/>
                    </a:stretch>
                  </pic:blipFill>
                  <pic:spPr bwMode="auto">
                    <a:xfrm>
                      <a:off x="0" y="0"/>
                      <a:ext cx="1019175" cy="657860"/>
                    </a:xfrm>
                    <a:prstGeom prst="rect">
                      <a:avLst/>
                    </a:prstGeom>
                  </pic:spPr>
                </pic:pic>
              </a:graphicData>
            </a:graphic>
          </wp:inline>
        </w:drawing>
      </w:r>
    </w:p>
    <w:p>
      <w:pPr>
        <w:pStyle w:val="Style15"/>
        <w:rPr/>
      </w:pPr>
      <w:bookmarkStart w:id="380" w:name="_Toc228877252"/>
      <w:bookmarkStart w:id="381" w:name="_Ref125362865"/>
      <w:bookmarkStart w:id="382" w:name="_Ref125362900"/>
      <w:bookmarkStart w:id="383" w:name="Прил06_СоставЗаявки"/>
      <w:bookmarkEnd w:id="383"/>
      <w:r>
        <w:rPr/>
        <w:t>Приложение № 6 – Состав заявки</w:t>
      </w:r>
      <w:bookmarkEnd w:id="380"/>
      <w:bookmarkEnd w:id="381"/>
      <w:bookmarkEnd w:id="382"/>
    </w:p>
    <w:p>
      <w:pPr>
        <w:pStyle w:val="Style16"/>
        <w:rPr/>
      </w:pPr>
      <w:bookmarkStart w:id="384" w:name="_Toc228877253"/>
      <w:r>
        <w:rPr/>
        <w:t>Состав заявки</w:t>
      </w:r>
      <w:bookmarkEnd w:id="384"/>
    </w:p>
    <w:p>
      <w:pPr>
        <w:pStyle w:val="Style17"/>
        <w:spacing w:before="120" w:after="120"/>
        <w:rPr/>
      </w:pPr>
      <w:r>
        <w:rPr/>
        <w:t>Заявка на участие в закупке должна состоять из первой части, второй части и ценового предложения, которые должны содержать следующий комплект документов (</w:t>
      </w:r>
      <w:bookmarkStart w:id="385" w:name="_Hlk207814797"/>
      <w:r>
        <w:rPr/>
        <w:t>по установленным формам и в соответствии с инструкциями, приведенными</w:t>
      </w:r>
      <w:bookmarkEnd w:id="385"/>
      <w:r>
        <w:rPr/>
        <w:t xml:space="preserve"> в </w:t>
      </w:r>
      <w:hyperlink w:anchor="Прил04_ФормыЗаявки" w:tgtFrame="#Прил04_ФормыЗаявки">
        <w:r>
          <w:rPr>
            <w:rStyle w:val="Style5"/>
          </w:rPr>
          <w:t>Приложении № 4</w:t>
        </w:r>
      </w:hyperlink>
      <w:r>
        <w:rPr/>
        <w:t>):</w:t>
      </w:r>
    </w:p>
    <w:tbl>
      <w:tblPr>
        <w:tblStyle w:val="1482"/>
        <w:tblW w:w="878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707"/>
        <w:gridCol w:w="8075"/>
      </w:tblGrid>
      <w:tr>
        <w:trPr/>
        <w:tc>
          <w:tcPr>
            <w:tcW w:w="707"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w:t>
            </w:r>
            <w:r>
              <w:rPr>
                <w:rFonts w:eastAsia="Calibri"/>
                <w:b/>
                <w:kern w:val="0"/>
                <w:sz w:val="26"/>
                <w:szCs w:val="22"/>
                <w:lang w:val="ru-RU" w:eastAsia="en-US" w:bidi="ar-SA"/>
              </w:rPr>
              <w:br/>
              <w:t>п/п</w:t>
            </w:r>
          </w:p>
        </w:tc>
        <w:tc>
          <w:tcPr>
            <w:tcW w:w="8075"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Наименование документа</w:t>
            </w:r>
          </w:p>
        </w:tc>
      </w:tr>
      <w:tr>
        <w:trPr/>
        <w:tc>
          <w:tcPr>
            <w:tcW w:w="707" w:type="dxa"/>
            <w:tcBorders/>
          </w:tcPr>
          <w:p>
            <w:pPr>
              <w:pStyle w:val="Style21"/>
              <w:keepNext w:val="true"/>
              <w:widowControl w:val="false"/>
              <w:spacing w:before="60" w:after="60"/>
              <w:ind w:left="360" w:hanging="0"/>
              <w:jc w:val="center"/>
              <w:rPr>
                <w:b/>
                <w:bCs/>
              </w:rPr>
            </w:pPr>
            <w:r>
              <w:rPr>
                <w:b/>
                <w:bCs/>
              </w:rPr>
            </w:r>
          </w:p>
        </w:tc>
        <w:tc>
          <w:tcPr>
            <w:tcW w:w="8075" w:type="dxa"/>
            <w:tcBorders/>
          </w:tcPr>
          <w:p>
            <w:pPr>
              <w:pStyle w:val="Style21"/>
              <w:keepNext w:val="true"/>
              <w:widowControl w:val="false"/>
              <w:spacing w:before="60" w:after="60"/>
              <w:rPr>
                <w:b/>
                <w:bCs/>
              </w:rPr>
            </w:pPr>
            <w:r>
              <w:rPr>
                <w:rFonts w:eastAsia="Calibri"/>
                <w:b/>
                <w:bCs/>
                <w:kern w:val="0"/>
                <w:sz w:val="26"/>
                <w:szCs w:val="22"/>
                <w:lang w:val="ru-RU" w:eastAsia="en-US" w:bidi="ar-SA"/>
              </w:rPr>
              <w:t>Первая часть заявки:</w:t>
            </w:r>
          </w:p>
        </w:tc>
      </w:tr>
      <w:tr>
        <w:trPr/>
        <w:tc>
          <w:tcPr>
            <w:tcW w:w="707" w:type="dxa"/>
            <w:tcBorders/>
          </w:tcPr>
          <w:p>
            <w:pPr>
              <w:pStyle w:val="Style21"/>
              <w:widowControl w:val="false"/>
              <w:numPr>
                <w:ilvl w:val="0"/>
                <w:numId w:val="6"/>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075"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1"/>
              <w:widowControl w:val="false"/>
              <w:numPr>
                <w:ilvl w:val="0"/>
                <w:numId w:val="6"/>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075"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 xml:space="preserve">Техническое предложение (форма 4), которое в том числе может включать План распределения объемов поставки продукции </w:t>
            </w:r>
            <w:r>
              <w:rPr>
                <w:rFonts w:eastAsia="Calibri"/>
                <w:i/>
                <w:iCs/>
                <w:kern w:val="0"/>
                <w:sz w:val="26"/>
                <w:szCs w:val="22"/>
                <w:lang w:val="ru-RU" w:eastAsia="en-US" w:bidi="ar-SA"/>
              </w:rPr>
              <w:t>(без указания сведений, позволяющих каким-либо образом идентифицировать генерального подрядчика или привлекаемого им субподрядчика / соисполнителя)</w:t>
            </w:r>
            <w:r>
              <w:rPr>
                <w:rFonts w:eastAsia="Calibri"/>
                <w:kern w:val="0"/>
                <w:sz w:val="26"/>
                <w:szCs w:val="22"/>
                <w:lang w:val="ru-RU" w:eastAsia="en-US" w:bidi="ar-SA"/>
              </w:rPr>
              <w:t>;</w:t>
            </w:r>
          </w:p>
        </w:tc>
      </w:tr>
      <w:tr>
        <w:trPr/>
        <w:tc>
          <w:tcPr>
            <w:tcW w:w="707" w:type="dxa"/>
            <w:tcBorders/>
          </w:tcPr>
          <w:p>
            <w:pPr>
              <w:pStyle w:val="Style21"/>
              <w:keepNext w:val="true"/>
              <w:widowControl w:val="false"/>
              <w:spacing w:before="60" w:after="60"/>
              <w:ind w:left="360" w:hanging="0"/>
              <w:jc w:val="center"/>
              <w:rPr>
                <w:b/>
                <w:bCs/>
              </w:rPr>
            </w:pPr>
            <w:r>
              <w:rPr>
                <w:b/>
                <w:bCs/>
              </w:rPr>
            </w:r>
          </w:p>
        </w:tc>
        <w:tc>
          <w:tcPr>
            <w:tcW w:w="8075" w:type="dxa"/>
            <w:tcBorders/>
          </w:tcPr>
          <w:p>
            <w:pPr>
              <w:pStyle w:val="Style21"/>
              <w:keepNext w:val="true"/>
              <w:widowControl w:val="false"/>
              <w:spacing w:before="60" w:after="60"/>
              <w:rPr>
                <w:b/>
                <w:bCs/>
              </w:rPr>
            </w:pPr>
            <w:r>
              <w:rPr>
                <w:rFonts w:eastAsia="Calibri"/>
                <w:b/>
                <w:bCs/>
                <w:kern w:val="0"/>
                <w:sz w:val="26"/>
                <w:szCs w:val="22"/>
                <w:lang w:val="ru-RU" w:eastAsia="en-US" w:bidi="ar-SA"/>
              </w:rPr>
              <w:t>Вторая часть заявки:</w:t>
            </w:r>
          </w:p>
        </w:tc>
      </w:tr>
      <w:tr>
        <w:trPr/>
        <w:tc>
          <w:tcPr>
            <w:tcW w:w="707" w:type="dxa"/>
            <w:tcBorders/>
          </w:tcPr>
          <w:p>
            <w:pPr>
              <w:pStyle w:val="Style21"/>
              <w:widowControl w:val="false"/>
              <w:numPr>
                <w:ilvl w:val="0"/>
                <w:numId w:val="6"/>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075"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1"/>
              <w:widowControl w:val="false"/>
              <w:numPr>
                <w:ilvl w:val="0"/>
                <w:numId w:val="6"/>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075"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Письмо о подаче оферты (форма 2);</w:t>
            </w:r>
          </w:p>
        </w:tc>
      </w:tr>
      <w:tr>
        <w:trPr/>
        <w:tc>
          <w:tcPr>
            <w:tcW w:w="707" w:type="dxa"/>
            <w:tcBorders/>
          </w:tcPr>
          <w:p>
            <w:pPr>
              <w:pStyle w:val="Style21"/>
              <w:widowControl w:val="false"/>
              <w:numPr>
                <w:ilvl w:val="0"/>
                <w:numId w:val="6"/>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075"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Анкета Участника (форма 5);</w:t>
            </w:r>
          </w:p>
        </w:tc>
      </w:tr>
      <w:tr>
        <w:trPr/>
        <w:tc>
          <w:tcPr>
            <w:tcW w:w="707" w:type="dxa"/>
            <w:tcBorders/>
          </w:tcPr>
          <w:p>
            <w:pPr>
              <w:pStyle w:val="Style21"/>
              <w:widowControl w:val="false"/>
              <w:numPr>
                <w:ilvl w:val="0"/>
                <w:numId w:val="6"/>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075" w:type="dxa"/>
            <w:tcBorders/>
          </w:tcPr>
          <w:p>
            <w:pPr>
              <w:pStyle w:val="Style21"/>
              <w:widowControl w:val="false"/>
              <w:spacing w:before="60" w:after="60"/>
              <w:rPr/>
            </w:pPr>
            <w:r>
              <w:rPr>
                <w:rFonts w:eastAsia="Calibri"/>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_Ref125361435 \w \h </w:instrText>
            </w:r>
            <w:r>
              <w:rPr>
                <w:sz w:val="26"/>
                <w:kern w:val="0"/>
                <w:szCs w:val="22"/>
                <w:rFonts w:eastAsia="Calibri"/>
                <w:lang w:val="ru-RU" w:eastAsia="en-US" w:bidi="ar-SA"/>
              </w:rPr>
              <w:fldChar w:fldCharType="separate"/>
            </w:r>
            <w:r>
              <w:rPr>
                <w:sz w:val="26"/>
                <w:kern w:val="0"/>
                <w:szCs w:val="22"/>
                <w:rFonts w:eastAsia="Calibri"/>
                <w:lang w:val="ru-RU" w:eastAsia="en-US" w:bidi="ar-SA"/>
              </w:rPr>
              <w:t>8.2</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w:t>
            </w:r>
            <w:hyperlink w:anchor="Прил03_ТребованияУчастникам" w:tgtFrame="#Прил03_ТребованияУчастникам">
              <w:r>
                <w:rPr>
                  <w:rStyle w:val="Style5"/>
                  <w:rFonts w:eastAsia="Calibri"/>
                  <w:kern w:val="0"/>
                  <w:sz w:val="26"/>
                  <w:szCs w:val="22"/>
                  <w:lang w:val="ru-RU" w:eastAsia="en-US" w:bidi="ar-SA"/>
                </w:rPr>
                <w:t>Приложения № 3</w:t>
              </w:r>
            </w:hyperlink>
            <w:r>
              <w:rPr>
                <w:rFonts w:eastAsia="Calibri"/>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1"/>
              <w:widowControl w:val="false"/>
              <w:numPr>
                <w:ilvl w:val="0"/>
                <w:numId w:val="6"/>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075" w:type="dxa"/>
            <w:tcBorders/>
          </w:tcPr>
          <w:p>
            <w:pPr>
              <w:pStyle w:val="Style21"/>
              <w:widowControl w:val="false"/>
              <w:spacing w:before="60" w:after="60"/>
              <w:rPr/>
            </w:pPr>
            <w:r>
              <w:rPr>
                <w:rFonts w:eastAsia="Calibri"/>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_Ref125709153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8.3</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w:t>
            </w:r>
            <w:hyperlink w:anchor="Прил03_ТребованияУчастникам" w:tgtFrame="#Прил03_ТребованияУчастникам">
              <w:r>
                <w:rPr>
                  <w:rStyle w:val="Style5"/>
                  <w:rFonts w:eastAsia="Calibri"/>
                  <w:kern w:val="0"/>
                  <w:sz w:val="26"/>
                  <w:szCs w:val="22"/>
                  <w:lang w:val="ru-RU" w:eastAsia="en-US" w:bidi="ar-SA"/>
                </w:rPr>
                <w:t>Приложения № 3</w:t>
              </w:r>
            </w:hyperlink>
            <w:r>
              <w:rPr>
                <w:rFonts w:eastAsia="Calibri"/>
                <w:kern w:val="0"/>
                <w:sz w:val="26"/>
                <w:szCs w:val="22"/>
                <w:lang w:val="ru-RU" w:eastAsia="en-US" w:bidi="ar-SA"/>
              </w:rPr>
              <w:t>);</w:t>
            </w:r>
          </w:p>
        </w:tc>
      </w:tr>
      <w:tr>
        <w:trPr/>
        <w:tc>
          <w:tcPr>
            <w:tcW w:w="707" w:type="dxa"/>
            <w:tcBorders/>
          </w:tcPr>
          <w:p>
            <w:pPr>
              <w:pStyle w:val="Style21"/>
              <w:widowControl w:val="false"/>
              <w:numPr>
                <w:ilvl w:val="0"/>
                <w:numId w:val="6"/>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075" w:type="dxa"/>
            <w:tcBorders/>
          </w:tcPr>
          <w:p>
            <w:pPr>
              <w:pStyle w:val="Style21"/>
              <w:widowControl w:val="false"/>
              <w:spacing w:before="60" w:after="60"/>
              <w:rPr/>
            </w:pPr>
            <w:r>
              <w:rPr>
                <w:rFonts w:eastAsia="Calibri"/>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_Ref125709777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8.4</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w:t>
            </w:r>
            <w:hyperlink w:anchor="Прил03_ТребованияУчастникам" w:tgtFrame="#Прил03_ТребованияУчастникам">
              <w:r>
                <w:rPr>
                  <w:rStyle w:val="Style5"/>
                  <w:rFonts w:eastAsia="Calibri"/>
                  <w:kern w:val="0"/>
                  <w:sz w:val="26"/>
                  <w:szCs w:val="22"/>
                  <w:lang w:val="ru-RU" w:eastAsia="en-US" w:bidi="ar-SA"/>
                </w:rPr>
                <w:t>Приложения № 3</w:t>
              </w:r>
            </w:hyperlink>
            <w:r>
              <w:rPr>
                <w:rFonts w:eastAsia="Calibri"/>
                <w:kern w:val="0"/>
                <w:sz w:val="26"/>
                <w:szCs w:val="22"/>
                <w:lang w:val="ru-RU" w:eastAsia="en-US" w:bidi="ar-SA"/>
              </w:rPr>
              <w:t>) – предоставляются, если Участник подает заявку от лица Генерального подрядчика (подраздел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_Ref125361702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3.2</w:t>
            </w:r>
            <w:r>
              <w:rPr>
                <w:sz w:val="26"/>
                <w:kern w:val="0"/>
                <w:szCs w:val="22"/>
                <w:rFonts w:eastAsia="Calibri"/>
                <w:lang w:val="ru-RU" w:eastAsia="en-US" w:bidi="ar-SA"/>
              </w:rPr>
              <w:fldChar w:fldCharType="end"/>
            </w:r>
            <w:r>
              <w:rPr>
                <w:rFonts w:eastAsia="Calibri"/>
                <w:kern w:val="0"/>
                <w:sz w:val="26"/>
                <w:szCs w:val="22"/>
                <w:lang w:val="ru-RU" w:eastAsia="en-US" w:bidi="ar-SA"/>
              </w:rPr>
              <w:t>), а именно:</w:t>
            </w:r>
          </w:p>
          <w:p>
            <w:pPr>
              <w:pStyle w:val="Style21"/>
              <w:widowControl w:val="false"/>
              <w:numPr>
                <w:ilvl w:val="0"/>
                <w:numId w:val="8"/>
              </w:numPr>
              <w:spacing w:before="60" w:after="60"/>
              <w:ind w:left="284" w:hanging="284"/>
              <w:rPr/>
            </w:pPr>
            <w:r>
              <w:rPr>
                <w:rFonts w:eastAsia="Calibri"/>
                <w:kern w:val="0"/>
                <w:sz w:val="26"/>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tgtFrame="#Прил04_ФормыЗаявки">
              <w:r>
                <w:rPr>
                  <w:rStyle w:val="Style5"/>
                  <w:rFonts w:eastAsia="Calibri"/>
                  <w:kern w:val="0"/>
                  <w:sz w:val="26"/>
                  <w:szCs w:val="22"/>
                  <w:lang w:val="ru-RU" w:eastAsia="en-US" w:bidi="ar-SA"/>
                </w:rPr>
                <w:t>Приложение № 4</w:t>
              </w:r>
            </w:hyperlink>
            <w:r>
              <w:rPr>
                <w:rFonts w:eastAsia="Calibri"/>
                <w:kern w:val="0"/>
                <w:sz w:val="26"/>
                <w:szCs w:val="22"/>
                <w:lang w:val="ru-RU" w:eastAsia="en-US" w:bidi="ar-SA"/>
              </w:rPr>
              <w:t>);</w:t>
            </w:r>
          </w:p>
          <w:p>
            <w:pPr>
              <w:pStyle w:val="Style21"/>
              <w:widowControl w:val="false"/>
              <w:numPr>
                <w:ilvl w:val="0"/>
                <w:numId w:val="8"/>
              </w:numPr>
              <w:spacing w:before="60" w:after="60"/>
              <w:ind w:left="284" w:hanging="284"/>
              <w:rPr/>
            </w:pPr>
            <w:r>
              <w:rPr>
                <w:rFonts w:eastAsia="Calibri"/>
                <w:kern w:val="0"/>
                <w:sz w:val="26"/>
                <w:szCs w:val="22"/>
                <w:lang w:val="ru-RU" w:eastAsia="en-US" w:bidi="ar-SA"/>
              </w:rPr>
              <w:t>прочие документы, определенные в подразделе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_Ref125709777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8.4</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w:t>
            </w:r>
            <w:hyperlink w:anchor="Прил03_ТребованияУчастникам" w:tgtFrame="#Прил03_ТребованияУчастникам">
              <w:r>
                <w:rPr>
                  <w:rStyle w:val="Style5"/>
                  <w:rFonts w:eastAsia="Calibri"/>
                  <w:kern w:val="0"/>
                  <w:sz w:val="26"/>
                  <w:szCs w:val="22"/>
                  <w:lang w:val="ru-RU" w:eastAsia="en-US" w:bidi="ar-SA"/>
                </w:rPr>
                <w:t>Приложения № 3</w:t>
              </w:r>
            </w:hyperlink>
            <w:r>
              <w:rPr>
                <w:rFonts w:eastAsia="Calibri"/>
                <w:kern w:val="0"/>
                <w:sz w:val="26"/>
                <w:szCs w:val="22"/>
                <w:lang w:val="ru-RU" w:eastAsia="en-US" w:bidi="ar-SA"/>
              </w:rPr>
              <w:t>;</w:t>
            </w:r>
          </w:p>
        </w:tc>
      </w:tr>
      <w:tr>
        <w:trPr/>
        <w:tc>
          <w:tcPr>
            <w:tcW w:w="707" w:type="dxa"/>
            <w:tcBorders/>
          </w:tcPr>
          <w:p>
            <w:pPr>
              <w:pStyle w:val="Style21"/>
              <w:widowControl w:val="false"/>
              <w:numPr>
                <w:ilvl w:val="0"/>
                <w:numId w:val="6"/>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bookmarkStart w:id="386" w:name="_Ref132888537"/>
            <w:bookmarkStart w:id="387" w:name="_Ref132888537"/>
            <w:bookmarkEnd w:id="387"/>
          </w:p>
        </w:tc>
        <w:tc>
          <w:tcPr>
            <w:tcW w:w="8075"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Копия независимой гарантии – предоставляется при необходимости и в случае отсутствия внесенных Участником денежных средств на специальный банковский счет;</w:t>
            </w:r>
          </w:p>
        </w:tc>
      </w:tr>
      <w:tr>
        <w:trPr/>
        <w:tc>
          <w:tcPr>
            <w:tcW w:w="707" w:type="dxa"/>
            <w:tcBorders/>
          </w:tcPr>
          <w:p>
            <w:pPr>
              <w:pStyle w:val="Style21"/>
              <w:widowControl w:val="false"/>
              <w:numPr>
                <w:ilvl w:val="0"/>
                <w:numId w:val="6"/>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075" w:type="dxa"/>
            <w:tcBorders/>
          </w:tcPr>
          <w:p>
            <w:pPr>
              <w:pStyle w:val="Style21"/>
              <w:widowControl w:val="false"/>
              <w:spacing w:before="60" w:after="60"/>
              <w:rPr/>
            </w:pPr>
            <w:r>
              <w:rPr>
                <w:rFonts w:eastAsia="Calibri"/>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tgtFrame="#Прил01_ТехТребования">
              <w:r>
                <w:rPr>
                  <w:rStyle w:val="Style5"/>
                  <w:rFonts w:eastAsia="Calibri"/>
                  <w:kern w:val="0"/>
                  <w:sz w:val="26"/>
                  <w:szCs w:val="22"/>
                  <w:lang w:val="ru-RU" w:eastAsia="en-US" w:bidi="ar-SA"/>
                </w:rPr>
                <w:t>Технических требованиях (Приложение № 1)</w:t>
              </w:r>
            </w:hyperlink>
            <w:r>
              <w:rPr>
                <w:rFonts w:eastAsia="Calibri"/>
                <w:kern w:val="0"/>
                <w:sz w:val="26"/>
                <w:szCs w:val="22"/>
                <w:lang w:val="ru-RU" w:eastAsia="en-US" w:bidi="ar-SA"/>
              </w:rPr>
              <w:t xml:space="preserve"> – предоставляются, если в </w:t>
            </w:r>
            <w:hyperlink w:anchor="Прил01_ТехТребования" w:tgtFrame="#Прил01_ТехТребования">
              <w:r>
                <w:rPr>
                  <w:rStyle w:val="Style5"/>
                  <w:rFonts w:eastAsia="Calibri"/>
                  <w:kern w:val="0"/>
                  <w:sz w:val="26"/>
                  <w:szCs w:val="22"/>
                  <w:lang w:val="ru-RU" w:eastAsia="en-US" w:bidi="ar-SA"/>
                </w:rPr>
                <w:t>Технических требованиях (Приложение № 1)</w:t>
              </w:r>
            </w:hyperlink>
            <w:r>
              <w:rPr>
                <w:rFonts w:eastAsia="Calibri"/>
                <w:kern w:val="0"/>
                <w:sz w:val="26"/>
                <w:szCs w:val="22"/>
                <w:lang w:val="ru-RU" w:eastAsia="en-US" w:bidi="ar-SA"/>
              </w:rPr>
              <w:t xml:space="preserve"> было установлено соответствующее требование;</w:t>
            </w:r>
          </w:p>
        </w:tc>
      </w:tr>
      <w:tr>
        <w:trPr/>
        <w:tc>
          <w:tcPr>
            <w:tcW w:w="707" w:type="dxa"/>
            <w:tcBorders/>
          </w:tcPr>
          <w:p>
            <w:pPr>
              <w:pStyle w:val="Style21"/>
              <w:keepNext w:val="true"/>
              <w:widowControl w:val="false"/>
              <w:spacing w:before="60" w:after="60"/>
              <w:ind w:left="360" w:hanging="0"/>
              <w:jc w:val="center"/>
              <w:rPr>
                <w:b/>
                <w:bCs/>
              </w:rPr>
            </w:pPr>
            <w:r>
              <w:rPr>
                <w:b/>
                <w:bCs/>
              </w:rPr>
            </w:r>
          </w:p>
        </w:tc>
        <w:tc>
          <w:tcPr>
            <w:tcW w:w="8075" w:type="dxa"/>
            <w:tcBorders/>
          </w:tcPr>
          <w:p>
            <w:pPr>
              <w:pStyle w:val="Style21"/>
              <w:keepNext w:val="true"/>
              <w:widowControl w:val="false"/>
              <w:spacing w:before="60" w:after="60"/>
              <w:rPr>
                <w:b/>
                <w:bCs/>
              </w:rPr>
            </w:pPr>
            <w:r>
              <w:rPr>
                <w:rFonts w:eastAsia="Calibri"/>
                <w:b/>
                <w:bCs/>
                <w:kern w:val="0"/>
                <w:sz w:val="26"/>
                <w:szCs w:val="22"/>
                <w:lang w:val="ru-RU" w:eastAsia="en-US" w:bidi="ar-SA"/>
              </w:rPr>
              <w:t>Ценовое предложение (предоставляется в течение 1 (одного) рабочего дня после завершения процедуры аукциона):</w:t>
            </w:r>
          </w:p>
        </w:tc>
      </w:tr>
      <w:tr>
        <w:trPr/>
        <w:tc>
          <w:tcPr>
            <w:tcW w:w="707" w:type="dxa"/>
            <w:tcBorders/>
          </w:tcPr>
          <w:p>
            <w:pPr>
              <w:pStyle w:val="Style21"/>
              <w:widowControl w:val="false"/>
              <w:numPr>
                <w:ilvl w:val="0"/>
                <w:numId w:val="6"/>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075"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1"/>
              <w:widowControl w:val="false"/>
              <w:numPr>
                <w:ilvl w:val="0"/>
                <w:numId w:val="6"/>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075" w:type="dxa"/>
            <w:tcBorders/>
          </w:tcPr>
          <w:p>
            <w:pPr>
              <w:pStyle w:val="Style21"/>
              <w:widowControl w:val="false"/>
              <w:spacing w:before="60" w:after="60"/>
              <w:rPr/>
            </w:pPr>
            <w:r>
              <w:rPr>
                <w:rFonts w:eastAsia="Calibri"/>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tgtFrame="#Прил01_ТехТребования">
              <w:r>
                <w:rPr>
                  <w:rStyle w:val="Style5"/>
                  <w:rFonts w:eastAsia="Calibri"/>
                  <w:kern w:val="0"/>
                  <w:sz w:val="26"/>
                  <w:szCs w:val="22"/>
                  <w:lang w:val="ru-RU" w:eastAsia="en-US" w:bidi="ar-SA"/>
                </w:rPr>
                <w:t>Техническими требованиями (Приложение № 1)</w:t>
              </w:r>
            </w:hyperlink>
            <w:r>
              <w:rPr>
                <w:rFonts w:eastAsia="Calibri"/>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bl>
    <w:p>
      <w:pPr>
        <w:sectPr>
          <w:headerReference w:type="default" r:id="rId25"/>
          <w:headerReference w:type="first" r:id="rId26"/>
          <w:footerReference w:type="default" r:id="rId27"/>
          <w:footerReference w:type="first" r:id="rId28"/>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17"/>
        <w:rPr>
          <w:rStyle w:val="Style2"/>
          <w:i w:val="false"/>
          <w:i w:val="false"/>
          <w:iCs w:val="false"/>
          <w:shd w:fill="auto" w:val="clear"/>
        </w:rPr>
      </w:pPr>
      <w:r>
        <w:rPr>
          <w:rStyle w:val="Style2"/>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15"/>
        <w:rPr/>
      </w:pPr>
      <w:bookmarkStart w:id="388" w:name="_Ref125365264"/>
      <w:bookmarkStart w:id="389" w:name="_Toc228877254"/>
      <w:bookmarkStart w:id="390" w:name="Прил07_ОтборочныеКритерии"/>
      <w:bookmarkEnd w:id="390"/>
      <w:r>
        <w:rPr/>
        <w:t>Приложение № 7 – Отборочные критерии рассмотрения заявок</w:t>
      </w:r>
      <w:bookmarkEnd w:id="388"/>
      <w:bookmarkEnd w:id="389"/>
    </w:p>
    <w:p>
      <w:pPr>
        <w:pStyle w:val="Style21"/>
        <w:spacing w:before="120" w:after="120"/>
        <w:rPr>
          <w:rStyle w:val="Style2"/>
        </w:rPr>
      </w:pPr>
      <w:r>
        <w:rPr/>
      </w:r>
    </w:p>
    <w:p>
      <w:pPr>
        <w:pStyle w:val="Style16"/>
        <w:spacing w:before="360" w:after="120"/>
        <w:rPr>
          <w:rStyle w:val="Style2"/>
          <w:i w:val="false"/>
          <w:i w:val="false"/>
          <w:iCs w:val="false"/>
          <w:shd w:fill="auto" w:val="clear"/>
        </w:rPr>
      </w:pPr>
      <w:bookmarkStart w:id="391" w:name="_Toc228877255"/>
      <w:r>
        <w:rPr>
          <w:rStyle w:val="Style2"/>
          <w:i w:val="false"/>
          <w:iCs w:val="false"/>
          <w:shd w:fill="auto" w:val="clear"/>
        </w:rPr>
        <w:t>Отборочные критерии рассмотрения первых частей заявок</w:t>
      </w:r>
      <w:bookmarkEnd w:id="391"/>
    </w:p>
    <w:tbl>
      <w:tblPr>
        <w:tblStyle w:val="1482"/>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tc>
          <w:tcPr>
            <w:tcW w:w="1412"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Номер</w:t>
              <w:br/>
              <w:t>критерия</w:t>
            </w:r>
          </w:p>
        </w:tc>
        <w:tc>
          <w:tcPr>
            <w:tcW w:w="8506"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Наименование</w:t>
              <w:br/>
              <w:t>отборочного критерия</w:t>
            </w:r>
          </w:p>
        </w:tc>
        <w:tc>
          <w:tcPr>
            <w:tcW w:w="3117"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Номер пункта</w:t>
              <w:br/>
              <w:t>Документации о закупке</w:t>
            </w:r>
          </w:p>
        </w:tc>
        <w:tc>
          <w:tcPr>
            <w:tcW w:w="2090"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Направления</w:t>
              <w:br/>
              <w:t>оценки заявок*</w:t>
            </w:r>
          </w:p>
        </w:tc>
      </w:tr>
      <w:tr>
        <w:trPr/>
        <w:tc>
          <w:tcPr>
            <w:tcW w:w="9918" w:type="dxa"/>
            <w:gridSpan w:val="2"/>
            <w:tcBorders/>
          </w:tcPr>
          <w:p>
            <w:pPr>
              <w:pStyle w:val="Style21"/>
              <w:keepNext w:val="true"/>
              <w:widowControl w:val="false"/>
              <w:spacing w:before="60" w:after="60"/>
              <w:rPr>
                <w:b/>
                <w:bCs/>
              </w:rPr>
            </w:pPr>
            <w:r>
              <w:rPr>
                <w:rFonts w:eastAsia="Calibri"/>
                <w:b/>
                <w:bCs/>
                <w:kern w:val="0"/>
                <w:sz w:val="26"/>
                <w:szCs w:val="22"/>
                <w:lang w:val="ru-RU" w:eastAsia="en-US" w:bidi="ar-SA"/>
              </w:rPr>
              <w:t>Состав и правильность оформления первой части заявки, в том числе:</w:t>
            </w:r>
          </w:p>
        </w:tc>
        <w:tc>
          <w:tcPr>
            <w:tcW w:w="3117" w:type="dxa"/>
            <w:tcBorders/>
          </w:tcPr>
          <w:p>
            <w:pPr>
              <w:pStyle w:val="Style21"/>
              <w:widowControl w:val="false"/>
              <w:spacing w:before="60" w:after="60"/>
              <w:jc w:val="center"/>
              <w:rPr>
                <w:b/>
                <w:bCs/>
              </w:rPr>
            </w:pPr>
            <w:r>
              <w:rPr>
                <w:rFonts w:eastAsia="Calibri"/>
                <w:b/>
                <w:bCs/>
                <w:kern w:val="0"/>
                <w:sz w:val="26"/>
                <w:szCs w:val="22"/>
                <w:lang w:val="ru-RU" w:eastAsia="en-US" w:bidi="ar-SA"/>
              </w:rPr>
              <w:t>–</w:t>
            </w:r>
          </w:p>
        </w:tc>
        <w:tc>
          <w:tcPr>
            <w:tcW w:w="2090" w:type="dxa"/>
            <w:tcBorders/>
          </w:tcPr>
          <w:p>
            <w:pPr>
              <w:pStyle w:val="Style21"/>
              <w:widowControl w:val="false"/>
              <w:spacing w:before="60" w:after="60"/>
              <w:jc w:val="center"/>
              <w:rPr>
                <w:b/>
                <w:bCs/>
              </w:rPr>
            </w:pPr>
            <w:r>
              <w:rPr>
                <w:rFonts w:eastAsia="Calibri"/>
                <w:b/>
                <w:bCs/>
                <w:kern w:val="0"/>
                <w:sz w:val="26"/>
                <w:szCs w:val="22"/>
                <w:lang w:val="ru-RU" w:eastAsia="en-US" w:bidi="ar-SA"/>
              </w:rPr>
              <w:t>–</w:t>
            </w:r>
          </w:p>
        </w:tc>
      </w:tr>
      <w:tr>
        <w:trPr/>
        <w:tc>
          <w:tcPr>
            <w:tcW w:w="1412" w:type="dxa"/>
            <w:tcBorders/>
          </w:tcPr>
          <w:p>
            <w:pPr>
              <w:pStyle w:val="Style21"/>
              <w:widowControl w:val="false"/>
              <w:numPr>
                <w:ilvl w:val="0"/>
                <w:numId w:val="7"/>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pPr>
            <w:r>
              <w:rPr>
                <w:rFonts w:eastAsia="Calibri"/>
                <w:kern w:val="0"/>
                <w:sz w:val="26"/>
                <w:szCs w:val="22"/>
                <w:lang w:val="ru-RU" w:eastAsia="en-US" w:bidi="ar-SA"/>
              </w:rPr>
              <w:t xml:space="preserve">Наличие в составе первой части заявки обязательных к предоставлению (для целей рассмотрения первых частей заявок в рамках отборочной стадии) документов в соответствии с требованиями </w:t>
            </w:r>
            <w:hyperlink w:anchor="Прил06_СоставЗаявки" w:tgtFrame="#Прил06_СоставЗаявки">
              <w:r>
                <w:rPr>
                  <w:rStyle w:val="Style5"/>
                  <w:rFonts w:eastAsia="Calibri"/>
                  <w:kern w:val="0"/>
                  <w:sz w:val="26"/>
                  <w:szCs w:val="22"/>
                  <w:lang w:val="ru-RU" w:eastAsia="en-US" w:bidi="ar-SA"/>
                </w:rPr>
                <w:t>Приложения № 6 «Состав заявки»</w:t>
              </w:r>
            </w:hyperlink>
            <w:r>
              <w:rPr>
                <w:rFonts w:eastAsia="Calibri"/>
                <w:kern w:val="0"/>
                <w:sz w:val="26"/>
                <w:szCs w:val="22"/>
                <w:lang w:val="ru-RU" w:eastAsia="en-US" w:bidi="ar-SA"/>
              </w:rPr>
              <w:t>, а также правильность их оформления (в т.ч. в части языка заявки)</w:t>
            </w:r>
          </w:p>
        </w:tc>
        <w:tc>
          <w:tcPr>
            <w:tcW w:w="3117" w:type="dxa"/>
            <w:tcBorders/>
          </w:tcPr>
          <w:p>
            <w:pPr>
              <w:pStyle w:val="Style21"/>
              <w:widowControl w:val="false"/>
              <w:spacing w:before="60" w:after="60"/>
              <w:jc w:val="center"/>
              <w:rPr>
                <w:rStyle w:val="Style5"/>
              </w:rPr>
            </w:pPr>
            <w:r>
              <w:rPr>
                <w:rFonts w:eastAsia="Calibri"/>
                <w:kern w:val="0"/>
                <w:sz w:val="26"/>
                <w:szCs w:val="22"/>
                <w:lang w:val="ru-RU" w:eastAsia="en-US" w:bidi="ar-SA"/>
              </w:rPr>
              <w:t>подразделы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_Ref130394681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4.3</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_Ref125362119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4.6</w:t>
            </w:r>
            <w:r>
              <w:rPr>
                <w:sz w:val="26"/>
                <w:kern w:val="0"/>
                <w:szCs w:val="22"/>
                <w:rFonts w:eastAsia="Calibri"/>
                <w:lang w:val="ru-RU" w:eastAsia="en-US" w:bidi="ar-SA"/>
              </w:rPr>
              <w:fldChar w:fldCharType="end"/>
            </w:r>
            <w:r>
              <w:rPr>
                <w:rFonts w:eastAsia="Calibri"/>
                <w:kern w:val="0"/>
                <w:sz w:val="26"/>
                <w:szCs w:val="22"/>
                <w:lang w:val="ru-RU" w:eastAsia="en-US" w:bidi="ar-SA"/>
              </w:rPr>
              <w:t>,</w:t>
              <w:br/>
            </w:r>
            <w:hyperlink w:anchor="Прил06_СоставЗаявки" w:tgtFrame="#Прил06_СоставЗаявки">
              <w:r>
                <w:rPr>
                  <w:rStyle w:val="Style5"/>
                  <w:rFonts w:eastAsia="Calibri"/>
                  <w:kern w:val="0"/>
                  <w:sz w:val="26"/>
                  <w:szCs w:val="22"/>
                  <w:lang w:val="ru-RU" w:eastAsia="en-US" w:bidi="ar-SA"/>
                </w:rPr>
                <w:t>Приложение № 6</w:t>
              </w:r>
            </w:hyperlink>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r>
        <w:trPr/>
        <w:tc>
          <w:tcPr>
            <w:tcW w:w="1412" w:type="dxa"/>
            <w:tcBorders/>
          </w:tcPr>
          <w:p>
            <w:pPr>
              <w:pStyle w:val="Style21"/>
              <w:widowControl w:val="false"/>
              <w:numPr>
                <w:ilvl w:val="0"/>
                <w:numId w:val="7"/>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Отсутствие в материалах (документах) первой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3117"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_Ref130394681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4.3</w:t>
            </w:r>
            <w:r>
              <w:rPr>
                <w:sz w:val="26"/>
                <w:kern w:val="0"/>
                <w:szCs w:val="22"/>
                <w:rFonts w:eastAsia="Calibri"/>
                <w:lang w:val="ru-RU" w:eastAsia="en-US" w:bidi="ar-SA"/>
              </w:rPr>
              <w:fldChar w:fldCharType="end"/>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r>
        <w:trPr/>
        <w:tc>
          <w:tcPr>
            <w:tcW w:w="1412" w:type="dxa"/>
            <w:tcBorders/>
          </w:tcPr>
          <w:p>
            <w:pPr>
              <w:pStyle w:val="Style21"/>
              <w:widowControl w:val="false"/>
              <w:numPr>
                <w:ilvl w:val="0"/>
                <w:numId w:val="7"/>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Отсутствие в материалах первой части заявки сведений об Участнике и (или) о его ценовом предложении</w:t>
            </w:r>
          </w:p>
        </w:tc>
        <w:tc>
          <w:tcPr>
            <w:tcW w:w="3117"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_Ref130394681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4.3</w:t>
            </w:r>
            <w:r>
              <w:rPr>
                <w:sz w:val="26"/>
                <w:kern w:val="0"/>
                <w:szCs w:val="22"/>
                <w:rFonts w:eastAsia="Calibri"/>
                <w:lang w:val="ru-RU" w:eastAsia="en-US" w:bidi="ar-SA"/>
              </w:rPr>
              <w:fldChar w:fldCharType="end"/>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r>
        <w:trPr/>
        <w:tc>
          <w:tcPr>
            <w:tcW w:w="9918" w:type="dxa"/>
            <w:gridSpan w:val="2"/>
            <w:tcBorders/>
          </w:tcPr>
          <w:p>
            <w:pPr>
              <w:pStyle w:val="Style21"/>
              <w:keepNext w:val="true"/>
              <w:widowControl w:val="false"/>
              <w:spacing w:before="60" w:after="60"/>
              <w:rPr>
                <w:b/>
                <w:bCs/>
              </w:rPr>
            </w:pPr>
            <w:r>
              <w:rPr>
                <w:rFonts w:eastAsia="Calibri"/>
                <w:b/>
                <w:bCs/>
                <w:kern w:val="0"/>
                <w:sz w:val="26"/>
                <w:szCs w:val="22"/>
                <w:lang w:val="ru-RU" w:eastAsia="en-US" w:bidi="ar-SA"/>
              </w:rPr>
              <w:t xml:space="preserve">Соответствие Технического предложения Участника </w:t>
            </w:r>
            <w:hyperlink w:anchor="Прил01_ТехТребования" w:tgtFrame="#Прил01_ТехТребования">
              <w:r>
                <w:rPr>
                  <w:rStyle w:val="Style5"/>
                  <w:rFonts w:eastAsia="Calibri"/>
                  <w:b/>
                  <w:bCs/>
                  <w:kern w:val="0"/>
                  <w:sz w:val="26"/>
                  <w:szCs w:val="22"/>
                  <w:lang w:val="ru-RU" w:eastAsia="en-US" w:bidi="ar-SA"/>
                </w:rPr>
                <w:t>Техническим требованиям (Приложение № 1)</w:t>
              </w:r>
            </w:hyperlink>
            <w:r>
              <w:rPr>
                <w:rFonts w:eastAsia="Calibri"/>
                <w:b/>
                <w:bCs/>
                <w:kern w:val="0"/>
                <w:sz w:val="26"/>
                <w:szCs w:val="22"/>
                <w:lang w:val="ru-RU" w:eastAsia="en-US" w:bidi="ar-SA"/>
              </w:rPr>
              <w:t>, в том числе:</w:t>
            </w:r>
          </w:p>
        </w:tc>
        <w:tc>
          <w:tcPr>
            <w:tcW w:w="3117" w:type="dxa"/>
            <w:tcBorders/>
          </w:tcPr>
          <w:p>
            <w:pPr>
              <w:pStyle w:val="Style21"/>
              <w:keepNext w:val="true"/>
              <w:widowControl w:val="false"/>
              <w:spacing w:before="60" w:after="60"/>
              <w:jc w:val="center"/>
              <w:rPr>
                <w:b/>
                <w:bCs/>
              </w:rPr>
            </w:pPr>
            <w:r>
              <w:rPr>
                <w:rFonts w:eastAsia="Calibri"/>
                <w:b/>
                <w:bCs/>
                <w:kern w:val="0"/>
                <w:sz w:val="26"/>
                <w:szCs w:val="22"/>
                <w:lang w:val="ru-RU" w:eastAsia="en-US" w:bidi="ar-SA"/>
              </w:rPr>
              <w:t>–</w:t>
            </w:r>
          </w:p>
        </w:tc>
        <w:tc>
          <w:tcPr>
            <w:tcW w:w="2090" w:type="dxa"/>
            <w:tcBorders/>
          </w:tcPr>
          <w:p>
            <w:pPr>
              <w:pStyle w:val="Style21"/>
              <w:keepNext w:val="true"/>
              <w:widowControl w:val="false"/>
              <w:spacing w:before="60" w:after="60"/>
              <w:jc w:val="center"/>
              <w:rPr>
                <w:b/>
                <w:bCs/>
              </w:rPr>
            </w:pPr>
            <w:r>
              <w:rPr>
                <w:rFonts w:eastAsia="Calibri"/>
                <w:b/>
                <w:bCs/>
                <w:kern w:val="0"/>
                <w:sz w:val="26"/>
                <w:szCs w:val="22"/>
                <w:lang w:val="ru-RU" w:eastAsia="en-US" w:bidi="ar-SA"/>
              </w:rPr>
              <w:t>–</w:t>
            </w:r>
          </w:p>
        </w:tc>
      </w:tr>
      <w:tr>
        <w:trPr/>
        <w:tc>
          <w:tcPr>
            <w:tcW w:w="1412" w:type="dxa"/>
            <w:tcBorders/>
          </w:tcPr>
          <w:p>
            <w:pPr>
              <w:pStyle w:val="Style21"/>
              <w:widowControl w:val="false"/>
              <w:numPr>
                <w:ilvl w:val="0"/>
                <w:numId w:val="7"/>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pPr>
            <w:r>
              <w:rPr>
                <w:rFonts w:eastAsia="Calibri"/>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требованиям, указанным в </w:t>
            </w:r>
            <w:hyperlink w:anchor="Прил01_ТехТребования" w:tgtFrame="#Прил01_ТехТребования">
              <w:r>
                <w:rPr>
                  <w:rStyle w:val="Style5"/>
                  <w:rFonts w:eastAsia="Calibri"/>
                  <w:kern w:val="0"/>
                  <w:sz w:val="26"/>
                  <w:szCs w:val="22"/>
                  <w:lang w:val="ru-RU" w:eastAsia="en-US" w:bidi="ar-SA"/>
                </w:rPr>
                <w:t>Технических требованиях (Приложение № 1)</w:t>
              </w:r>
            </w:hyperlink>
          </w:p>
        </w:tc>
        <w:tc>
          <w:tcPr>
            <w:tcW w:w="3117" w:type="dxa"/>
            <w:tcBorders/>
          </w:tcPr>
          <w:p>
            <w:pPr>
              <w:pStyle w:val="Style21"/>
              <w:widowControl w:val="false"/>
              <w:spacing w:before="60" w:after="60"/>
              <w:jc w:val="center"/>
              <w:rPr/>
            </w:pPr>
            <w:r>
              <w:rPr>
                <w:rFonts w:eastAsia="Calibri"/>
                <w:kern w:val="0"/>
                <w:sz w:val="26"/>
                <w:szCs w:val="22"/>
                <w:lang w:val="ru-RU" w:eastAsia="en-US" w:bidi="ar-SA"/>
              </w:rPr>
              <w:t>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_Ref130394681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4.3</w:t>
            </w:r>
            <w:r>
              <w:rPr>
                <w:sz w:val="26"/>
                <w:kern w:val="0"/>
                <w:szCs w:val="22"/>
                <w:rFonts w:eastAsia="Calibri"/>
                <w:lang w:val="ru-RU" w:eastAsia="en-US" w:bidi="ar-SA"/>
              </w:rPr>
              <w:fldChar w:fldCharType="end"/>
            </w:r>
            <w:r>
              <w:rPr>
                <w:rFonts w:eastAsia="Calibri"/>
                <w:kern w:val="0"/>
                <w:sz w:val="26"/>
                <w:szCs w:val="22"/>
                <w:lang w:val="ru-RU" w:eastAsia="en-US" w:bidi="ar-SA"/>
              </w:rPr>
              <w:br/>
            </w:r>
            <w:hyperlink w:anchor="Прил01_ТехТребования" w:tgtFrame="#Прил01_ТехТребования">
              <w:r>
                <w:rPr>
                  <w:rStyle w:val="Style5"/>
                  <w:rFonts w:eastAsia="Calibri"/>
                  <w:kern w:val="0"/>
                  <w:sz w:val="26"/>
                  <w:szCs w:val="22"/>
                  <w:lang w:val="ru-RU" w:eastAsia="en-US" w:bidi="ar-SA"/>
                </w:rPr>
                <w:t>Приложение № 1</w:t>
              </w:r>
            </w:hyperlink>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r>
        <w:trPr/>
        <w:tc>
          <w:tcPr>
            <w:tcW w:w="1412" w:type="dxa"/>
            <w:tcBorders/>
          </w:tcPr>
          <w:p>
            <w:pPr>
              <w:pStyle w:val="Style21"/>
              <w:widowControl w:val="false"/>
              <w:numPr>
                <w:ilvl w:val="0"/>
                <w:numId w:val="7"/>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pPr>
            <w:r>
              <w:rPr>
                <w:rFonts w:eastAsia="Calibri"/>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требованиям, указанным в </w:t>
            </w:r>
            <w:hyperlink w:anchor="Прил01_ТехТребования" w:tgtFrame="#Прил01_ТехТребования">
              <w:r>
                <w:rPr>
                  <w:rStyle w:val="Style5"/>
                  <w:rFonts w:eastAsia="Calibri"/>
                  <w:kern w:val="0"/>
                  <w:sz w:val="26"/>
                  <w:szCs w:val="22"/>
                  <w:lang w:val="ru-RU" w:eastAsia="en-US" w:bidi="ar-SA"/>
                </w:rPr>
                <w:t>Технических требованиях (Приложение № 1)</w:t>
              </w:r>
            </w:hyperlink>
          </w:p>
        </w:tc>
        <w:tc>
          <w:tcPr>
            <w:tcW w:w="3117" w:type="dxa"/>
            <w:tcBorders/>
          </w:tcPr>
          <w:p>
            <w:pPr>
              <w:pStyle w:val="Style21"/>
              <w:widowControl w:val="false"/>
              <w:spacing w:before="60" w:after="60"/>
              <w:jc w:val="center"/>
              <w:rPr/>
            </w:pPr>
            <w:r>
              <w:rPr>
                <w:rFonts w:eastAsia="Calibri"/>
                <w:kern w:val="0"/>
                <w:sz w:val="26"/>
                <w:szCs w:val="22"/>
                <w:lang w:val="ru-RU" w:eastAsia="en-US" w:bidi="ar-SA"/>
              </w:rPr>
              <w:t>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_Ref130394681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4.3</w:t>
            </w:r>
            <w:r>
              <w:rPr>
                <w:sz w:val="26"/>
                <w:kern w:val="0"/>
                <w:szCs w:val="22"/>
                <w:rFonts w:eastAsia="Calibri"/>
                <w:lang w:val="ru-RU" w:eastAsia="en-US" w:bidi="ar-SA"/>
              </w:rPr>
              <w:fldChar w:fldCharType="end"/>
            </w:r>
            <w:r>
              <w:rPr>
                <w:rFonts w:eastAsia="Calibri"/>
                <w:kern w:val="0"/>
                <w:sz w:val="26"/>
                <w:szCs w:val="22"/>
                <w:lang w:val="ru-RU" w:eastAsia="en-US" w:bidi="ar-SA"/>
              </w:rPr>
              <w:br/>
            </w:r>
            <w:hyperlink w:anchor="Прил01_ТехТребования" w:tgtFrame="#Прил01_ТехТребования">
              <w:r>
                <w:rPr>
                  <w:rStyle w:val="Style5"/>
                  <w:rFonts w:eastAsia="Calibri"/>
                  <w:kern w:val="0"/>
                  <w:sz w:val="26"/>
                  <w:szCs w:val="22"/>
                  <w:lang w:val="ru-RU" w:eastAsia="en-US" w:bidi="ar-SA"/>
                </w:rPr>
                <w:t>Приложение № 1</w:t>
              </w:r>
            </w:hyperlink>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r>
        <w:trPr/>
        <w:tc>
          <w:tcPr>
            <w:tcW w:w="1412" w:type="dxa"/>
            <w:tcBorders/>
          </w:tcPr>
          <w:p>
            <w:pPr>
              <w:pStyle w:val="Style21"/>
              <w:widowControl w:val="false"/>
              <w:numPr>
                <w:ilvl w:val="0"/>
                <w:numId w:val="7"/>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pPr>
            <w:r>
              <w:rPr>
                <w:rFonts w:eastAsia="Calibri"/>
                <w:kern w:val="0"/>
                <w:sz w:val="26"/>
                <w:szCs w:val="22"/>
                <w:lang w:val="ru-RU" w:eastAsia="en-US" w:bidi="ar-SA"/>
              </w:rPr>
              <w:t xml:space="preserve">Соответствие сроков (и (или) этапов) реализации Договора, предложенных Участником в Техническом предложении, указанным в </w:t>
            </w:r>
            <w:hyperlink w:anchor="Прил01_ТехТребования" w:tgtFrame="#Прил01_ТехТребования">
              <w:r>
                <w:rPr>
                  <w:rStyle w:val="Style5"/>
                  <w:rFonts w:eastAsia="Calibri"/>
                  <w:kern w:val="0"/>
                  <w:sz w:val="26"/>
                  <w:szCs w:val="22"/>
                  <w:lang w:val="ru-RU" w:eastAsia="en-US" w:bidi="ar-SA"/>
                </w:rPr>
                <w:t>Технических требованиях (Приложение № 1)</w:t>
              </w:r>
            </w:hyperlink>
            <w:r>
              <w:rPr>
                <w:rFonts w:eastAsia="Calibri"/>
                <w:kern w:val="0"/>
                <w:sz w:val="26"/>
                <w:szCs w:val="22"/>
                <w:lang w:val="ru-RU" w:eastAsia="en-US" w:bidi="ar-SA"/>
              </w:rPr>
              <w:t xml:space="preserve"> и (или) в </w:t>
            </w:r>
            <w:hyperlink w:anchor="Прил02_ПроектДоговора" w:tgtFrame="#Прил02_ПроектДоговора">
              <w:r>
                <w:rPr>
                  <w:rStyle w:val="Style5"/>
                  <w:rFonts w:eastAsia="Calibri"/>
                  <w:kern w:val="0"/>
                  <w:sz w:val="26"/>
                  <w:szCs w:val="22"/>
                  <w:lang w:val="ru-RU" w:eastAsia="en-US" w:bidi="ar-SA"/>
                </w:rPr>
                <w:t>Проекте договора (Приложение № 2)</w:t>
              </w:r>
            </w:hyperlink>
            <w:r>
              <w:rPr>
                <w:rFonts w:eastAsia="Calibri"/>
                <w:kern w:val="0"/>
                <w:sz w:val="26"/>
                <w:szCs w:val="22"/>
                <w:lang w:val="ru-RU" w:eastAsia="en-US" w:bidi="ar-SA"/>
              </w:rPr>
              <w:t>, или согласие с ними в Письме о подаче оферты</w:t>
            </w:r>
          </w:p>
        </w:tc>
        <w:tc>
          <w:tcPr>
            <w:tcW w:w="3117" w:type="dxa"/>
            <w:tcBorders/>
          </w:tcPr>
          <w:p>
            <w:pPr>
              <w:pStyle w:val="Style21"/>
              <w:widowControl w:val="false"/>
              <w:spacing w:before="60" w:after="60"/>
              <w:jc w:val="center"/>
              <w:rPr/>
            </w:pPr>
            <w:hyperlink w:anchor="Прил01_ТехТребования" w:tgtFrame="#Прил01_ТехТребования">
              <w:r>
                <w:rPr>
                  <w:rStyle w:val="Style5"/>
                  <w:rFonts w:eastAsia="Calibri"/>
                  <w:kern w:val="0"/>
                  <w:sz w:val="26"/>
                  <w:szCs w:val="22"/>
                  <w:lang w:val="ru-RU" w:eastAsia="en-US" w:bidi="ar-SA"/>
                </w:rPr>
                <w:t>Приложение № 1</w:t>
              </w:r>
            </w:hyperlink>
            <w:r>
              <w:rPr>
                <w:rFonts w:eastAsia="Calibri"/>
                <w:kern w:val="0"/>
                <w:sz w:val="26"/>
                <w:szCs w:val="22"/>
                <w:lang w:val="ru-RU" w:eastAsia="en-US" w:bidi="ar-SA"/>
              </w:rPr>
              <w:t>,</w:t>
              <w:br/>
            </w:r>
            <w:hyperlink w:anchor="Прил02_ПроектДоговора" w:tgtFrame="#Прил02_ПроектДоговора">
              <w:r>
                <w:rPr>
                  <w:rStyle w:val="Style5"/>
                  <w:rFonts w:eastAsia="Calibri"/>
                  <w:kern w:val="0"/>
                  <w:sz w:val="26"/>
                  <w:szCs w:val="22"/>
                  <w:lang w:val="ru-RU" w:eastAsia="en-US" w:bidi="ar-SA"/>
                </w:rPr>
                <w:t>Приложение № 2</w:t>
              </w:r>
            </w:hyperlink>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r>
        <w:trPr/>
        <w:tc>
          <w:tcPr>
            <w:tcW w:w="1412" w:type="dxa"/>
            <w:tcBorders/>
          </w:tcPr>
          <w:p>
            <w:pPr>
              <w:pStyle w:val="Style21"/>
              <w:widowControl w:val="false"/>
              <w:numPr>
                <w:ilvl w:val="0"/>
                <w:numId w:val="7"/>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pPr>
            <w:r>
              <w:rPr>
                <w:rFonts w:eastAsia="Calibri"/>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tgtFrame="#Прил01_ТехТребования">
              <w:r>
                <w:rPr>
                  <w:rStyle w:val="Style5"/>
                  <w:rFonts w:eastAsia="Calibri"/>
                  <w:kern w:val="0"/>
                  <w:sz w:val="26"/>
                  <w:szCs w:val="22"/>
                  <w:lang w:val="ru-RU" w:eastAsia="en-US" w:bidi="ar-SA"/>
                </w:rPr>
                <w:t>Технических требованиях (Приложение № 1)</w:t>
              </w:r>
            </w:hyperlink>
            <w:r>
              <w:rPr>
                <w:rFonts w:eastAsia="Calibri"/>
                <w:kern w:val="0"/>
                <w:sz w:val="26"/>
                <w:szCs w:val="22"/>
                <w:lang w:val="ru-RU" w:eastAsia="en-US" w:bidi="ar-SA"/>
              </w:rPr>
              <w:t xml:space="preserve"> и (или) в </w:t>
            </w:r>
            <w:hyperlink w:anchor="Прил02_ПроектДоговора" w:tgtFrame="#Прил02_ПроектДоговора">
              <w:r>
                <w:rPr>
                  <w:rStyle w:val="Style5"/>
                  <w:rFonts w:eastAsia="Calibri"/>
                  <w:kern w:val="0"/>
                  <w:sz w:val="26"/>
                  <w:szCs w:val="22"/>
                  <w:lang w:val="ru-RU" w:eastAsia="en-US" w:bidi="ar-SA"/>
                </w:rPr>
                <w:t>Проекте договора (Приложение № 2)</w:t>
              </w:r>
            </w:hyperlink>
          </w:p>
          <w:p>
            <w:pPr>
              <w:pStyle w:val="Style21"/>
              <w:widowControl w:val="false"/>
              <w:spacing w:before="60" w:after="60"/>
              <w:rPr>
                <w:rFonts w:ascii="Times New Roman" w:hAnsi="Times New Roman" w:eastAsia="Calibri"/>
                <w:sz w:val="26"/>
                <w:szCs w:val="22"/>
                <w:lang w:val="ru-RU" w:eastAsia="en-US" w:bidi="ar-SA"/>
              </w:rPr>
            </w:pPr>
            <w:r>
              <w:rPr>
                <w:rFonts w:eastAsia="Calibri"/>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1"/>
              <w:widowControl w:val="false"/>
              <w:spacing w:before="60" w:after="60"/>
              <w:jc w:val="center"/>
              <w:rPr/>
            </w:pPr>
            <w:hyperlink w:anchor="Прил01_ТехТребования" w:tgtFrame="#Прил01_ТехТребования">
              <w:r>
                <w:rPr>
                  <w:rStyle w:val="Style5"/>
                  <w:rFonts w:eastAsia="Calibri"/>
                  <w:kern w:val="0"/>
                  <w:sz w:val="26"/>
                  <w:szCs w:val="22"/>
                  <w:lang w:val="ru-RU" w:eastAsia="en-US" w:bidi="ar-SA"/>
                </w:rPr>
                <w:t>Приложение № 1</w:t>
              </w:r>
            </w:hyperlink>
            <w:r>
              <w:rPr>
                <w:rFonts w:eastAsia="Calibri"/>
                <w:kern w:val="0"/>
                <w:sz w:val="26"/>
                <w:szCs w:val="22"/>
                <w:lang w:val="ru-RU" w:eastAsia="en-US" w:bidi="ar-SA"/>
              </w:rPr>
              <w:t>,</w:t>
              <w:br/>
            </w:r>
            <w:hyperlink w:anchor="Прил02_ПроектДоговора" w:tgtFrame="#Прил02_ПроектДоговора">
              <w:r>
                <w:rPr>
                  <w:rStyle w:val="Style5"/>
                  <w:rFonts w:eastAsia="Calibri"/>
                  <w:kern w:val="0"/>
                  <w:sz w:val="26"/>
                  <w:szCs w:val="22"/>
                  <w:lang w:val="ru-RU" w:eastAsia="en-US" w:bidi="ar-SA"/>
                </w:rPr>
                <w:t>Приложение № 2</w:t>
              </w:r>
            </w:hyperlink>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r>
        <w:trPr/>
        <w:tc>
          <w:tcPr>
            <w:tcW w:w="1412" w:type="dxa"/>
            <w:tcBorders/>
          </w:tcPr>
          <w:p>
            <w:pPr>
              <w:pStyle w:val="Style21"/>
              <w:widowControl w:val="false"/>
              <w:numPr>
                <w:ilvl w:val="0"/>
                <w:numId w:val="7"/>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pPr>
            <w:r>
              <w:rPr>
                <w:rFonts w:eastAsia="Calibri"/>
                <w:kern w:val="0"/>
                <w:sz w:val="26"/>
                <w:szCs w:val="22"/>
                <w:lang w:val="ru-RU" w:eastAsia="en-US" w:bidi="ar-SA"/>
              </w:rPr>
              <w:t xml:space="preserve">Соответствие предлагаемой к поставке продукции дополнительным требованиям, установленным в </w:t>
            </w:r>
            <w:hyperlink w:anchor="Прил01_ТехТребования" w:tgtFrame="#Прил01_ТехТребования">
              <w:r>
                <w:rPr>
                  <w:rStyle w:val="Style5"/>
                  <w:rFonts w:eastAsia="Calibri"/>
                  <w:kern w:val="0"/>
                  <w:sz w:val="26"/>
                  <w:szCs w:val="22"/>
                  <w:lang w:val="ru-RU" w:eastAsia="en-US" w:bidi="ar-SA"/>
                </w:rPr>
                <w:t>Технических требованиях (Приложение № 1)</w:t>
              </w:r>
            </w:hyperlink>
            <w:r>
              <w:rPr>
                <w:rFonts w:eastAsia="Calibri"/>
                <w:kern w:val="0"/>
                <w:sz w:val="26"/>
                <w:szCs w:val="22"/>
                <w:lang w:val="ru-RU" w:eastAsia="en-US" w:bidi="ar-SA"/>
              </w:rPr>
              <w:t>, с предоставлением требуемых подтверждающих документов / сведений</w:t>
            </w:r>
          </w:p>
          <w:p>
            <w:pPr>
              <w:pStyle w:val="Style21"/>
              <w:widowControl w:val="false"/>
              <w:spacing w:before="60" w:after="60"/>
              <w:rPr>
                <w:rFonts w:ascii="Times New Roman" w:hAnsi="Times New Roman" w:eastAsia="Calibri"/>
                <w:sz w:val="26"/>
                <w:szCs w:val="22"/>
                <w:lang w:val="ru-RU" w:eastAsia="en-US" w:bidi="ar-SA"/>
              </w:rPr>
            </w:pPr>
            <w:r>
              <w:rPr>
                <w:rFonts w:eastAsia="Calibri"/>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1"/>
              <w:widowControl w:val="false"/>
              <w:spacing w:before="60" w:after="60"/>
              <w:jc w:val="center"/>
              <w:rPr/>
            </w:pPr>
            <w:hyperlink w:anchor="Прил01_ТехТребования" w:tgtFrame="#Прил01_ТехТребования">
              <w:r>
                <w:rPr>
                  <w:rStyle w:val="Style5"/>
                  <w:rFonts w:eastAsia="Calibri"/>
                  <w:kern w:val="0"/>
                  <w:sz w:val="26"/>
                  <w:szCs w:val="22"/>
                  <w:lang w:val="ru-RU" w:eastAsia="en-US" w:bidi="ar-SA"/>
                </w:rPr>
                <w:t>Приложение № 1</w:t>
              </w:r>
            </w:hyperlink>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bl>
    <w:p>
      <w:pPr>
        <w:pStyle w:val="Style24"/>
        <w:keepNext w:val="true"/>
        <w:rPr>
          <w:rStyle w:val="Style2"/>
          <w:i/>
          <w:i/>
          <w:iCs w:val="false"/>
          <w:shd w:fill="auto" w:val="clear"/>
        </w:rPr>
      </w:pPr>
      <w:r>
        <w:rPr>
          <w:i/>
          <w:iCs w:val="false"/>
          <w:shd w:fill="auto" w:val="clear"/>
        </w:rPr>
      </w:r>
    </w:p>
    <w:p>
      <w:pPr>
        <w:pStyle w:val="Style16"/>
        <w:spacing w:before="360" w:after="120"/>
        <w:rPr>
          <w:rStyle w:val="Style2"/>
          <w:i w:val="false"/>
          <w:i w:val="false"/>
          <w:iCs w:val="false"/>
          <w:shd w:fill="auto" w:val="clear"/>
        </w:rPr>
      </w:pPr>
      <w:bookmarkStart w:id="392" w:name="_Toc228877256"/>
      <w:r>
        <w:rPr>
          <w:rStyle w:val="Style2"/>
          <w:i w:val="false"/>
          <w:iCs w:val="false"/>
          <w:shd w:fill="auto" w:val="clear"/>
        </w:rPr>
        <w:t>Дополнительные критерии проверки первых частей заявок на соответствия условиям Документации о закупке</w:t>
      </w:r>
      <w:bookmarkEnd w:id="392"/>
    </w:p>
    <w:p>
      <w:pPr>
        <w:pStyle w:val="Style21"/>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1482"/>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tc>
          <w:tcPr>
            <w:tcW w:w="1412"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Номер</w:t>
              <w:br/>
              <w:t>критерия</w:t>
            </w:r>
          </w:p>
        </w:tc>
        <w:tc>
          <w:tcPr>
            <w:tcW w:w="8506"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Наименование</w:t>
              <w:br/>
              <w:t>отборочного критерия</w:t>
            </w:r>
          </w:p>
        </w:tc>
        <w:tc>
          <w:tcPr>
            <w:tcW w:w="3117"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Номер пункта</w:t>
              <w:br/>
              <w:t>Документации о закупке</w:t>
            </w:r>
          </w:p>
        </w:tc>
        <w:tc>
          <w:tcPr>
            <w:tcW w:w="2090"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Направления</w:t>
              <w:br/>
              <w:t>оценки заявок*</w:t>
            </w:r>
          </w:p>
        </w:tc>
      </w:tr>
      <w:tr>
        <w:trPr/>
        <w:tc>
          <w:tcPr>
            <w:tcW w:w="1412" w:type="dxa"/>
            <w:tcBorders/>
          </w:tcPr>
          <w:p>
            <w:pPr>
              <w:pStyle w:val="Style21"/>
              <w:widowControl w:val="false"/>
              <w:numPr>
                <w:ilvl w:val="0"/>
                <w:numId w:val="11"/>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bCs/>
                <w:kern w:val="0"/>
                <w:sz w:val="26"/>
                <w:szCs w:val="22"/>
                <w:lang w:val="ru-RU" w:eastAsia="en-US" w:bidi="ar-SA"/>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процента снижения стоимости заявки с целью определения «расчетной» стоимости заявки</w:t>
            </w:r>
          </w:p>
        </w:tc>
        <w:tc>
          <w:tcPr>
            <w:tcW w:w="3117" w:type="dxa"/>
            <w:tcBorders/>
          </w:tcPr>
          <w:p>
            <w:pPr>
              <w:pStyle w:val="Style21"/>
              <w:widowControl w:val="false"/>
              <w:spacing w:before="60" w:after="60"/>
              <w:jc w:val="center"/>
              <w:rPr>
                <w:rStyle w:val="Style5"/>
              </w:rPr>
            </w:pPr>
            <w:r>
              <w:rPr>
                <w:rFonts w:eastAsia="Calibri"/>
                <w:bCs/>
                <w:kern w:val="0"/>
                <w:sz w:val="26"/>
                <w:szCs w:val="22"/>
                <w:lang w:val="ru-RU" w:eastAsia="en-US" w:bidi="ar-SA"/>
              </w:rPr>
              <w:t>подраздел </w:t>
            </w:r>
            <w:r>
              <w:rPr>
                <w:rFonts w:eastAsia="Calibri"/>
                <w:bCs/>
                <w:kern w:val="0"/>
                <w:sz w:val="26"/>
                <w:szCs w:val="22"/>
                <w:lang w:val="ru-RU" w:eastAsia="en-US" w:bidi="ar-SA"/>
              </w:rPr>
              <w:fldChar w:fldCharType="begin"/>
            </w:r>
            <w:r>
              <w:rPr>
                <w:sz w:val="26"/>
                <w:kern w:val="0"/>
                <w:szCs w:val="22"/>
                <w:bCs/>
                <w:rFonts w:eastAsia="Calibri"/>
                <w:lang w:val="ru-RU" w:eastAsia="en-US" w:bidi="ar-SA"/>
              </w:rPr>
              <w:instrText xml:space="preserve"> REF _Ref195867895 \r \h </w:instrText>
            </w:r>
            <w:r>
              <w:rPr>
                <w:sz w:val="26"/>
                <w:kern w:val="0"/>
                <w:szCs w:val="22"/>
                <w:bCs/>
                <w:rFonts w:eastAsia="Calibri"/>
                <w:lang w:val="ru-RU" w:eastAsia="en-US" w:bidi="ar-SA"/>
              </w:rPr>
              <w:fldChar w:fldCharType="separate"/>
            </w:r>
            <w:r>
              <w:rPr>
                <w:sz w:val="26"/>
                <w:kern w:val="0"/>
                <w:szCs w:val="22"/>
                <w:bCs/>
                <w:rFonts w:eastAsia="Calibri"/>
                <w:lang w:val="ru-RU" w:eastAsia="en-US" w:bidi="ar-SA"/>
              </w:rPr>
              <w:t>4.18</w:t>
            </w:r>
            <w:r>
              <w:rPr>
                <w:sz w:val="26"/>
                <w:kern w:val="0"/>
                <w:szCs w:val="22"/>
                <w:bCs/>
                <w:rFonts w:eastAsia="Calibri"/>
                <w:lang w:val="ru-RU" w:eastAsia="en-US" w:bidi="ar-SA"/>
              </w:rPr>
              <w:fldChar w:fldCharType="end"/>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bCs/>
                <w:kern w:val="0"/>
                <w:sz w:val="26"/>
                <w:szCs w:val="22"/>
                <w:lang w:val="ru-RU" w:eastAsia="en-US" w:bidi="ar-SA"/>
              </w:rPr>
              <w:t>Тех</w:t>
            </w:r>
          </w:p>
        </w:tc>
      </w:tr>
    </w:tbl>
    <w:p>
      <w:pPr>
        <w:pStyle w:val="Style24"/>
        <w:rPr>
          <w:lang w:val="en-US"/>
        </w:rPr>
      </w:pPr>
      <w:r>
        <w:rPr>
          <w:lang w:val="en-US"/>
        </w:rPr>
      </w:r>
    </w:p>
    <w:p>
      <w:pPr>
        <w:pStyle w:val="Style16"/>
        <w:spacing w:before="360" w:after="120"/>
        <w:rPr>
          <w:rStyle w:val="Style2"/>
          <w:i w:val="false"/>
          <w:i w:val="false"/>
          <w:iCs w:val="false"/>
          <w:shd w:fill="auto" w:val="clear"/>
        </w:rPr>
      </w:pPr>
      <w:bookmarkStart w:id="393" w:name="_Toc228877257"/>
      <w:bookmarkStart w:id="394" w:name="_Hlk132891087"/>
      <w:r>
        <w:rPr>
          <w:rStyle w:val="Style2"/>
          <w:i w:val="false"/>
          <w:iCs w:val="false"/>
          <w:shd w:fill="auto" w:val="clear"/>
        </w:rPr>
        <w:t>Отборочные критерии рассмотрения вторых частей заявок</w:t>
      </w:r>
      <w:bookmarkEnd w:id="393"/>
      <w:bookmarkEnd w:id="394"/>
    </w:p>
    <w:tbl>
      <w:tblPr>
        <w:tblStyle w:val="1482"/>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tc>
          <w:tcPr>
            <w:tcW w:w="1412"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Номер</w:t>
              <w:br/>
              <w:t>критерия</w:t>
            </w:r>
          </w:p>
        </w:tc>
        <w:tc>
          <w:tcPr>
            <w:tcW w:w="8506"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Наименование</w:t>
              <w:br/>
              <w:t>отборочного критерия</w:t>
            </w:r>
          </w:p>
        </w:tc>
        <w:tc>
          <w:tcPr>
            <w:tcW w:w="3117"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Номер пункта</w:t>
              <w:br/>
              <w:t>Документации о закупке</w:t>
            </w:r>
          </w:p>
        </w:tc>
        <w:tc>
          <w:tcPr>
            <w:tcW w:w="2090"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Направления</w:t>
              <w:br/>
              <w:t>оценки заявок*</w:t>
            </w:r>
          </w:p>
        </w:tc>
      </w:tr>
      <w:tr>
        <w:trPr/>
        <w:tc>
          <w:tcPr>
            <w:tcW w:w="9918" w:type="dxa"/>
            <w:gridSpan w:val="2"/>
            <w:tcBorders/>
          </w:tcPr>
          <w:p>
            <w:pPr>
              <w:pStyle w:val="Style21"/>
              <w:keepNext w:val="true"/>
              <w:widowControl w:val="false"/>
              <w:spacing w:before="60" w:after="60"/>
              <w:rPr>
                <w:b/>
                <w:bCs/>
              </w:rPr>
            </w:pPr>
            <w:r>
              <w:rPr>
                <w:rFonts w:eastAsia="Calibri"/>
                <w:b/>
                <w:bCs/>
                <w:kern w:val="0"/>
                <w:sz w:val="26"/>
                <w:szCs w:val="22"/>
                <w:lang w:val="ru-RU" w:eastAsia="en-US" w:bidi="ar-SA"/>
              </w:rPr>
              <w:t>Состав и правильность оформления второй части заявки, в том числе:</w:t>
            </w:r>
          </w:p>
        </w:tc>
        <w:tc>
          <w:tcPr>
            <w:tcW w:w="3117" w:type="dxa"/>
            <w:tcBorders/>
          </w:tcPr>
          <w:p>
            <w:pPr>
              <w:pStyle w:val="Style21"/>
              <w:widowControl w:val="false"/>
              <w:spacing w:before="60" w:after="60"/>
              <w:jc w:val="center"/>
              <w:rPr>
                <w:b/>
                <w:bCs/>
              </w:rPr>
            </w:pPr>
            <w:r>
              <w:rPr>
                <w:rFonts w:eastAsia="Calibri"/>
                <w:b/>
                <w:bCs/>
                <w:kern w:val="0"/>
                <w:sz w:val="26"/>
                <w:szCs w:val="22"/>
                <w:lang w:val="ru-RU" w:eastAsia="en-US" w:bidi="ar-SA"/>
              </w:rPr>
              <w:t>–</w:t>
            </w:r>
          </w:p>
        </w:tc>
        <w:tc>
          <w:tcPr>
            <w:tcW w:w="2090" w:type="dxa"/>
            <w:tcBorders/>
          </w:tcPr>
          <w:p>
            <w:pPr>
              <w:pStyle w:val="Style21"/>
              <w:widowControl w:val="false"/>
              <w:spacing w:before="60" w:after="60"/>
              <w:jc w:val="center"/>
              <w:rPr>
                <w:b/>
                <w:bCs/>
              </w:rPr>
            </w:pPr>
            <w:r>
              <w:rPr>
                <w:rFonts w:eastAsia="Calibri"/>
                <w:b/>
                <w:bCs/>
                <w:kern w:val="0"/>
                <w:sz w:val="26"/>
                <w:szCs w:val="22"/>
                <w:lang w:val="ru-RU" w:eastAsia="en-US" w:bidi="ar-SA"/>
              </w:rPr>
              <w:t>–</w:t>
            </w:r>
          </w:p>
        </w:tc>
      </w:tr>
      <w:tr>
        <w:trPr/>
        <w:tc>
          <w:tcPr>
            <w:tcW w:w="1412" w:type="dxa"/>
            <w:tcBorders/>
          </w:tcPr>
          <w:p>
            <w:pPr>
              <w:pStyle w:val="Style21"/>
              <w:widowControl w:val="false"/>
              <w:numPr>
                <w:ilvl w:val="0"/>
                <w:numId w:val="12"/>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pPr>
            <w:r>
              <w:rPr>
                <w:rFonts w:eastAsia="Calibri"/>
                <w:kern w:val="0"/>
                <w:sz w:val="26"/>
                <w:szCs w:val="22"/>
                <w:lang w:val="ru-RU" w:eastAsia="en-US" w:bidi="ar-SA"/>
              </w:rPr>
              <w:t xml:space="preserve">Наличие в составе второй части заявки всех обязательных к предоставлению (для целей рассмотрения вторых частей заявок в рамках отборочной стадии) документов в соответствии с требованиями </w:t>
            </w:r>
            <w:hyperlink w:anchor="Прил06_СоставЗаявки" w:tgtFrame="#Прил06_СоставЗаявки">
              <w:r>
                <w:rPr>
                  <w:rStyle w:val="Style5"/>
                  <w:rFonts w:eastAsia="Calibri"/>
                  <w:kern w:val="0"/>
                  <w:sz w:val="26"/>
                  <w:szCs w:val="22"/>
                  <w:lang w:val="ru-RU" w:eastAsia="en-US" w:bidi="ar-SA"/>
                </w:rPr>
                <w:t>Приложения № 6 «Состав заявки»</w:t>
              </w:r>
            </w:hyperlink>
            <w:r>
              <w:rPr>
                <w:rFonts w:eastAsia="Calibri"/>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21"/>
              <w:widowControl w:val="false"/>
              <w:spacing w:before="60" w:after="60"/>
              <w:jc w:val="center"/>
              <w:rPr>
                <w:rStyle w:val="Style5"/>
              </w:rPr>
            </w:pPr>
            <w:r>
              <w:rPr>
                <w:rFonts w:eastAsia="Calibri"/>
                <w:kern w:val="0"/>
                <w:sz w:val="26"/>
                <w:szCs w:val="22"/>
                <w:lang w:val="ru-RU" w:eastAsia="en-US" w:bidi="ar-SA"/>
              </w:rPr>
              <w:t>подразделы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_Ref130394681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4.3</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_Ref125362119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4.6</w:t>
            </w:r>
            <w:r>
              <w:rPr>
                <w:sz w:val="26"/>
                <w:kern w:val="0"/>
                <w:szCs w:val="22"/>
                <w:rFonts w:eastAsia="Calibri"/>
                <w:lang w:val="ru-RU" w:eastAsia="en-US" w:bidi="ar-SA"/>
              </w:rPr>
              <w:fldChar w:fldCharType="end"/>
            </w:r>
            <w:r>
              <w:rPr>
                <w:rFonts w:eastAsia="Calibri"/>
                <w:kern w:val="0"/>
                <w:sz w:val="26"/>
                <w:szCs w:val="22"/>
                <w:lang w:val="ru-RU" w:eastAsia="en-US" w:bidi="ar-SA"/>
              </w:rPr>
              <w:t>,</w:t>
              <w:br/>
            </w:r>
            <w:hyperlink w:anchor="Прил06_СоставЗаявки" w:tgtFrame="#Прил06_СоставЗаявки">
              <w:r>
                <w:rPr>
                  <w:rStyle w:val="Style5"/>
                  <w:rFonts w:eastAsia="Calibri"/>
                  <w:kern w:val="0"/>
                  <w:sz w:val="26"/>
                  <w:szCs w:val="22"/>
                  <w:lang w:val="ru-RU" w:eastAsia="en-US" w:bidi="ar-SA"/>
                </w:rPr>
                <w:t>Приложение № 6</w:t>
              </w:r>
            </w:hyperlink>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Орг, Тех,</w:t>
              <w:br/>
              <w:t>Юр</w:t>
            </w:r>
          </w:p>
        </w:tc>
      </w:tr>
      <w:tr>
        <w:trPr/>
        <w:tc>
          <w:tcPr>
            <w:tcW w:w="1412" w:type="dxa"/>
            <w:tcBorders/>
          </w:tcPr>
          <w:p>
            <w:pPr>
              <w:pStyle w:val="Style21"/>
              <w:widowControl w:val="false"/>
              <w:numPr>
                <w:ilvl w:val="0"/>
                <w:numId w:val="12"/>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bookmarkStart w:id="395" w:name="_Ref132890414"/>
            <w:bookmarkStart w:id="396" w:name="_Ref132890414"/>
            <w:bookmarkEnd w:id="396"/>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_Ref125359973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1.2</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внесение денежных средств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w:t>
            </w:r>
          </w:p>
        </w:tc>
        <w:tc>
          <w:tcPr>
            <w:tcW w:w="3117"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_Ref130455226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4.22</w:t>
            </w:r>
            <w:r>
              <w:rPr>
                <w:sz w:val="26"/>
                <w:kern w:val="0"/>
                <w:szCs w:val="22"/>
                <w:rFonts w:eastAsia="Calibri"/>
                <w:lang w:val="ru-RU" w:eastAsia="en-US" w:bidi="ar-SA"/>
              </w:rPr>
              <w:fldChar w:fldCharType="end"/>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Орг – в части наличия сведений в реестре,</w:t>
            </w:r>
          </w:p>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Фин – в части соответствия</w:t>
            </w:r>
          </w:p>
        </w:tc>
      </w:tr>
      <w:tr>
        <w:trPr/>
        <w:tc>
          <w:tcPr>
            <w:tcW w:w="1412" w:type="dxa"/>
            <w:tcBorders/>
          </w:tcPr>
          <w:p>
            <w:pPr>
              <w:pStyle w:val="Style21"/>
              <w:widowControl w:val="false"/>
              <w:numPr>
                <w:ilvl w:val="0"/>
                <w:numId w:val="12"/>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Отсутствие в материалах (документах) второй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3117"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_Ref130394681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4.3</w:t>
            </w:r>
            <w:r>
              <w:rPr>
                <w:sz w:val="26"/>
                <w:kern w:val="0"/>
                <w:szCs w:val="22"/>
                <w:rFonts w:eastAsia="Calibri"/>
                <w:lang w:val="ru-RU" w:eastAsia="en-US" w:bidi="ar-SA"/>
              </w:rPr>
              <w:fldChar w:fldCharType="end"/>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Орг, Тех,</w:t>
              <w:br/>
              <w:t>Юр</w:t>
            </w:r>
          </w:p>
        </w:tc>
      </w:tr>
      <w:tr>
        <w:trPr/>
        <w:tc>
          <w:tcPr>
            <w:tcW w:w="9918" w:type="dxa"/>
            <w:gridSpan w:val="2"/>
            <w:tcBorders/>
          </w:tcPr>
          <w:p>
            <w:pPr>
              <w:pStyle w:val="Style21"/>
              <w:keepNext w:val="true"/>
              <w:widowControl w:val="false"/>
              <w:spacing w:before="60" w:after="60"/>
              <w:rPr>
                <w:b/>
                <w:bCs/>
              </w:rPr>
            </w:pPr>
            <w:r>
              <w:rPr>
                <w:rFonts w:eastAsia="Calibri"/>
                <w:b/>
                <w:bCs/>
                <w:kern w:val="0"/>
                <w:sz w:val="26"/>
                <w:szCs w:val="22"/>
                <w:lang w:val="ru-RU" w:eastAsia="en-US" w:bidi="ar-SA"/>
              </w:rPr>
              <w:t>Соответствие Письма о подаче оферты:</w:t>
            </w:r>
          </w:p>
        </w:tc>
        <w:tc>
          <w:tcPr>
            <w:tcW w:w="3117" w:type="dxa"/>
            <w:tcBorders/>
          </w:tcPr>
          <w:p>
            <w:pPr>
              <w:pStyle w:val="Style21"/>
              <w:keepNext w:val="true"/>
              <w:widowControl w:val="false"/>
              <w:spacing w:before="60" w:after="60"/>
              <w:jc w:val="center"/>
              <w:rPr>
                <w:rFonts w:ascii="Times New Roman" w:hAnsi="Times New Roman" w:eastAsia="Calibri"/>
                <w:sz w:val="26"/>
                <w:szCs w:val="22"/>
                <w:lang w:val="ru-RU" w:eastAsia="en-US" w:bidi="ar-SA"/>
              </w:rPr>
            </w:pPr>
            <w:r>
              <w:rPr>
                <w:rFonts w:eastAsia="Calibri"/>
                <w:b/>
                <w:bCs/>
                <w:kern w:val="0"/>
                <w:sz w:val="26"/>
                <w:szCs w:val="22"/>
                <w:lang w:val="ru-RU" w:eastAsia="en-US" w:bidi="ar-SA"/>
              </w:rPr>
              <w:t>–</w:t>
            </w:r>
          </w:p>
        </w:tc>
        <w:tc>
          <w:tcPr>
            <w:tcW w:w="2090" w:type="dxa"/>
            <w:tcBorders/>
          </w:tcPr>
          <w:p>
            <w:pPr>
              <w:pStyle w:val="Style21"/>
              <w:keepNext w:val="true"/>
              <w:widowControl w:val="false"/>
              <w:spacing w:before="60" w:after="60"/>
              <w:jc w:val="center"/>
              <w:rPr>
                <w:rFonts w:ascii="Times New Roman" w:hAnsi="Times New Roman" w:eastAsia="Calibri"/>
                <w:sz w:val="26"/>
                <w:szCs w:val="22"/>
                <w:lang w:val="ru-RU" w:eastAsia="en-US" w:bidi="ar-SA"/>
              </w:rPr>
            </w:pPr>
            <w:r>
              <w:rPr>
                <w:rFonts w:eastAsia="Calibri"/>
                <w:b/>
                <w:bCs/>
                <w:kern w:val="0"/>
                <w:sz w:val="26"/>
                <w:szCs w:val="22"/>
                <w:lang w:val="ru-RU" w:eastAsia="en-US" w:bidi="ar-SA"/>
              </w:rPr>
              <w:t>–</w:t>
            </w:r>
          </w:p>
        </w:tc>
      </w:tr>
      <w:tr>
        <w:trPr/>
        <w:tc>
          <w:tcPr>
            <w:tcW w:w="1412" w:type="dxa"/>
            <w:tcBorders/>
          </w:tcPr>
          <w:p>
            <w:pPr>
              <w:pStyle w:val="Style21"/>
              <w:widowControl w:val="false"/>
              <w:numPr>
                <w:ilvl w:val="0"/>
                <w:numId w:val="12"/>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срока действия заявки</w:t>
            </w:r>
          </w:p>
        </w:tc>
        <w:tc>
          <w:tcPr>
            <w:tcW w:w="3117" w:type="dxa"/>
            <w:tcBorders/>
          </w:tcPr>
          <w:p>
            <w:pPr>
              <w:pStyle w:val="Style21"/>
              <w:widowControl w:val="false"/>
              <w:spacing w:before="60" w:after="60"/>
              <w:jc w:val="center"/>
              <w:rPr/>
            </w:pPr>
            <w:r>
              <w:rPr>
                <w:rFonts w:eastAsia="Calibri"/>
                <w:kern w:val="0"/>
                <w:sz w:val="26"/>
                <w:szCs w:val="22"/>
                <w:lang w:val="ru-RU" w:eastAsia="en-US" w:bidi="ar-SA"/>
              </w:rPr>
              <w:t>подразделы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_Ref130394681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4.3</w:t>
            </w:r>
            <w:r>
              <w:rPr>
                <w:sz w:val="26"/>
                <w:kern w:val="0"/>
                <w:szCs w:val="22"/>
                <w:rFonts w:eastAsia="Calibri"/>
                <w:lang w:val="ru-RU" w:eastAsia="en-US" w:bidi="ar-SA"/>
              </w:rPr>
              <w:fldChar w:fldCharType="end"/>
            </w:r>
            <w:r>
              <w:rPr>
                <w:rFonts w:eastAsia="Calibri"/>
                <w:kern w:val="0"/>
                <w:sz w:val="26"/>
                <w:szCs w:val="22"/>
                <w:lang w:val="ru-RU" w:eastAsia="en-US" w:bidi="ar-SA"/>
              </w:rPr>
              <w:t>,</w:t>
              <w:br/>
            </w:r>
            <w:hyperlink w:anchor="Прил04_ФормыЗаявки" w:tgtFrame="#Прил04_ФормыЗаявки">
              <w:r>
                <w:rPr>
                  <w:rStyle w:val="Style5"/>
                  <w:rFonts w:eastAsia="Calibri"/>
                  <w:kern w:val="0"/>
                  <w:sz w:val="26"/>
                  <w:szCs w:val="22"/>
                  <w:lang w:val="ru-RU" w:eastAsia="en-US" w:bidi="ar-SA"/>
                </w:rPr>
                <w:t>Приложение № 4</w:t>
              </w:r>
            </w:hyperlink>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Орг</w:t>
            </w:r>
          </w:p>
        </w:tc>
      </w:tr>
      <w:tr>
        <w:trPr/>
        <w:tc>
          <w:tcPr>
            <w:tcW w:w="9918" w:type="dxa"/>
            <w:gridSpan w:val="2"/>
            <w:tcBorders/>
          </w:tcPr>
          <w:p>
            <w:pPr>
              <w:pStyle w:val="Style21"/>
              <w:keepNext w:val="true"/>
              <w:widowControl w:val="false"/>
              <w:spacing w:before="60" w:after="60"/>
              <w:rPr>
                <w:b/>
                <w:bCs/>
              </w:rPr>
            </w:pPr>
            <w:r>
              <w:rPr>
                <w:rFonts w:eastAsia="Calibri"/>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21"/>
              <w:widowControl w:val="false"/>
              <w:spacing w:before="60" w:after="60"/>
              <w:jc w:val="center"/>
              <w:rPr>
                <w:b/>
                <w:bCs/>
              </w:rPr>
            </w:pPr>
            <w:r>
              <w:rPr>
                <w:rFonts w:eastAsia="Calibri"/>
                <w:b/>
                <w:bCs/>
                <w:kern w:val="0"/>
                <w:sz w:val="26"/>
                <w:szCs w:val="22"/>
                <w:lang w:val="ru-RU" w:eastAsia="en-US" w:bidi="ar-SA"/>
              </w:rPr>
              <w:t>–</w:t>
            </w:r>
          </w:p>
        </w:tc>
        <w:tc>
          <w:tcPr>
            <w:tcW w:w="2090" w:type="dxa"/>
            <w:tcBorders/>
          </w:tcPr>
          <w:p>
            <w:pPr>
              <w:pStyle w:val="Style21"/>
              <w:widowControl w:val="false"/>
              <w:spacing w:before="60" w:after="60"/>
              <w:jc w:val="center"/>
              <w:rPr>
                <w:b/>
                <w:bCs/>
              </w:rPr>
            </w:pPr>
            <w:r>
              <w:rPr>
                <w:rFonts w:eastAsia="Calibri"/>
                <w:b/>
                <w:bCs/>
                <w:kern w:val="0"/>
                <w:sz w:val="26"/>
                <w:szCs w:val="22"/>
                <w:lang w:val="ru-RU" w:eastAsia="en-US" w:bidi="ar-SA"/>
              </w:rPr>
              <w:t>–</w:t>
            </w:r>
          </w:p>
        </w:tc>
      </w:tr>
      <w:tr>
        <w:trPr/>
        <w:tc>
          <w:tcPr>
            <w:tcW w:w="1412" w:type="dxa"/>
            <w:tcBorders/>
          </w:tcPr>
          <w:p>
            <w:pPr>
              <w:pStyle w:val="Style21"/>
              <w:widowControl w:val="false"/>
              <w:numPr>
                <w:ilvl w:val="0"/>
                <w:numId w:val="12"/>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Соответствие Участника пункту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_Ref125552433 \w \h </w:instrText>
            </w:r>
            <w:r>
              <w:rPr>
                <w:sz w:val="26"/>
                <w:kern w:val="0"/>
                <w:szCs w:val="22"/>
                <w:rFonts w:eastAsia="Calibri"/>
                <w:lang w:val="ru-RU" w:eastAsia="en-US" w:bidi="ar-SA"/>
              </w:rPr>
              <w:fldChar w:fldCharType="separate"/>
            </w:r>
            <w:r>
              <w:rPr>
                <w:sz w:val="26"/>
                <w:kern w:val="0"/>
                <w:szCs w:val="22"/>
                <w:rFonts w:eastAsia="Calibri"/>
                <w:lang w:val="ru-RU" w:eastAsia="en-US" w:bidi="ar-SA"/>
              </w:rPr>
              <w:t>1</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обязательных требований к Участникам</w:t>
            </w:r>
          </w:p>
          <w:p>
            <w:pPr>
              <w:pStyle w:val="Style21"/>
              <w:widowControl w:val="false"/>
              <w:spacing w:before="60" w:after="60"/>
              <w:rPr>
                <w:i/>
                <w:i/>
                <w:iCs/>
              </w:rPr>
            </w:pPr>
            <w:r>
              <w:rPr>
                <w:rFonts w:eastAsia="Calibri"/>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kern w:val="0"/>
                <w:sz w:val="26"/>
                <w:szCs w:val="22"/>
                <w:lang w:val="ru-RU" w:eastAsia="en-US" w:bidi="ar-SA"/>
              </w:rPr>
              <w:fldChar w:fldCharType="begin"/>
            </w:r>
            <w:r>
              <w:rPr>
                <w:sz w:val="26"/>
                <w:i/>
                <w:kern w:val="0"/>
                <w:szCs w:val="22"/>
                <w:iCs/>
                <w:rFonts w:eastAsia="Calibri"/>
                <w:lang w:val="ru-RU" w:eastAsia="en-US" w:bidi="ar-SA"/>
              </w:rPr>
              <w:instrText xml:space="preserve"> REF _Ref138341423 \r \h </w:instrText>
            </w:r>
            <w:r>
              <w:rPr>
                <w:sz w:val="26"/>
                <w:i/>
                <w:kern w:val="0"/>
                <w:szCs w:val="22"/>
                <w:iCs/>
                <w:rFonts w:eastAsia="Calibri"/>
                <w:lang w:val="ru-RU" w:eastAsia="en-US" w:bidi="ar-SA"/>
              </w:rPr>
              <w:fldChar w:fldCharType="separate"/>
            </w:r>
            <w:r>
              <w:rPr>
                <w:sz w:val="26"/>
                <w:i/>
                <w:kern w:val="0"/>
                <w:szCs w:val="22"/>
                <w:iCs/>
                <w:rFonts w:eastAsia="Calibri"/>
                <w:lang w:val="ru-RU" w:eastAsia="en-US" w:bidi="ar-SA"/>
              </w:rPr>
              <w:t>5.2</w:t>
            </w:r>
            <w:r>
              <w:rPr>
                <w:sz w:val="26"/>
                <w:i/>
                <w:kern w:val="0"/>
                <w:szCs w:val="22"/>
                <w:iCs/>
                <w:rFonts w:eastAsia="Calibri"/>
                <w:lang w:val="ru-RU" w:eastAsia="en-US" w:bidi="ar-SA"/>
              </w:rPr>
              <w:fldChar w:fldCharType="end"/>
            </w:r>
            <w:r>
              <w:rPr>
                <w:rFonts w:eastAsia="Calibri"/>
                <w:i/>
                <w:iCs/>
                <w:kern w:val="0"/>
                <w:sz w:val="26"/>
                <w:szCs w:val="22"/>
                <w:lang w:val="ru-RU" w:eastAsia="en-US" w:bidi="ar-SA"/>
              </w:rPr>
              <w:t>)</w:t>
            </w:r>
          </w:p>
        </w:tc>
        <w:tc>
          <w:tcPr>
            <w:tcW w:w="3117" w:type="dxa"/>
            <w:tcBorders/>
          </w:tcPr>
          <w:p>
            <w:pPr>
              <w:pStyle w:val="Style21"/>
              <w:widowControl w:val="false"/>
              <w:spacing w:before="60" w:after="60"/>
              <w:jc w:val="center"/>
              <w:rPr/>
            </w:pPr>
            <w:r>
              <w:rPr>
                <w:rFonts w:eastAsia="Calibri"/>
                <w:kern w:val="0"/>
                <w:sz w:val="26"/>
                <w:szCs w:val="22"/>
                <w:lang w:val="ru-RU" w:eastAsia="en-US" w:bidi="ar-SA"/>
              </w:rPr>
              <w:t>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_Ref125361435 \w \h </w:instrText>
            </w:r>
            <w:r>
              <w:rPr>
                <w:sz w:val="26"/>
                <w:kern w:val="0"/>
                <w:szCs w:val="22"/>
                <w:rFonts w:eastAsia="Calibri"/>
                <w:lang w:val="ru-RU" w:eastAsia="en-US" w:bidi="ar-SA"/>
              </w:rPr>
              <w:fldChar w:fldCharType="separate"/>
            </w:r>
            <w:r>
              <w:rPr>
                <w:sz w:val="26"/>
                <w:kern w:val="0"/>
                <w:szCs w:val="22"/>
                <w:rFonts w:eastAsia="Calibri"/>
                <w:lang w:val="ru-RU" w:eastAsia="en-US" w:bidi="ar-SA"/>
              </w:rPr>
              <w:t>8.2</w:t>
            </w:r>
            <w:r>
              <w:rPr>
                <w:sz w:val="26"/>
                <w:kern w:val="0"/>
                <w:szCs w:val="22"/>
                <w:rFonts w:eastAsia="Calibri"/>
                <w:lang w:val="ru-RU" w:eastAsia="en-US" w:bidi="ar-SA"/>
              </w:rPr>
              <w:fldChar w:fldCharType="end"/>
            </w:r>
            <w:r>
              <w:rPr>
                <w:rFonts w:eastAsia="Calibri"/>
                <w:kern w:val="0"/>
                <w:sz w:val="26"/>
                <w:szCs w:val="22"/>
                <w:lang w:val="ru-RU" w:eastAsia="en-US" w:bidi="ar-SA"/>
              </w:rPr>
              <w:br/>
              <w:t>(</w:t>
            </w:r>
            <w:hyperlink w:anchor="Прил03_ТребованияУчастникам" w:tgtFrame="#Прил03_ТребованияУчастникам">
              <w:r>
                <w:rPr>
                  <w:rStyle w:val="Style5"/>
                  <w:rFonts w:eastAsia="Calibri"/>
                  <w:kern w:val="0"/>
                  <w:sz w:val="26"/>
                  <w:szCs w:val="22"/>
                  <w:lang w:val="ru-RU" w:eastAsia="en-US" w:bidi="ar-SA"/>
                </w:rPr>
                <w:t>Приложение № 3</w:t>
              </w:r>
            </w:hyperlink>
            <w:r>
              <w:rPr>
                <w:rFonts w:eastAsia="Calibri"/>
                <w:kern w:val="0"/>
                <w:sz w:val="26"/>
                <w:szCs w:val="22"/>
                <w:lang w:val="ru-RU" w:eastAsia="en-US" w:bidi="ar-SA"/>
              </w:rPr>
              <w:t>)</w:t>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Орг, Юр</w:t>
            </w:r>
          </w:p>
        </w:tc>
      </w:tr>
      <w:tr>
        <w:trPr/>
        <w:tc>
          <w:tcPr>
            <w:tcW w:w="1412" w:type="dxa"/>
            <w:tcBorders/>
          </w:tcPr>
          <w:p>
            <w:pPr>
              <w:pStyle w:val="Style21"/>
              <w:widowControl w:val="false"/>
              <w:numPr>
                <w:ilvl w:val="0"/>
                <w:numId w:val="12"/>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Соответствие Участника пункту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_Ref132893662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2</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обязательных требований к Участникам</w:t>
            </w:r>
          </w:p>
        </w:tc>
        <w:tc>
          <w:tcPr>
            <w:tcW w:w="3117" w:type="dxa"/>
            <w:tcBorders/>
          </w:tcPr>
          <w:p>
            <w:pPr>
              <w:pStyle w:val="Style21"/>
              <w:widowControl w:val="false"/>
              <w:spacing w:before="60" w:after="60"/>
              <w:jc w:val="center"/>
              <w:rPr/>
            </w:pPr>
            <w:r>
              <w:rPr>
                <w:rFonts w:eastAsia="Calibri"/>
                <w:kern w:val="0"/>
                <w:sz w:val="26"/>
                <w:szCs w:val="22"/>
                <w:lang w:val="ru-RU" w:eastAsia="en-US" w:bidi="ar-SA"/>
              </w:rPr>
              <w:t>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_Ref125361435 \w \h </w:instrText>
            </w:r>
            <w:r>
              <w:rPr>
                <w:sz w:val="26"/>
                <w:kern w:val="0"/>
                <w:szCs w:val="22"/>
                <w:rFonts w:eastAsia="Calibri"/>
                <w:lang w:val="ru-RU" w:eastAsia="en-US" w:bidi="ar-SA"/>
              </w:rPr>
              <w:fldChar w:fldCharType="separate"/>
            </w:r>
            <w:r>
              <w:rPr>
                <w:sz w:val="26"/>
                <w:kern w:val="0"/>
                <w:szCs w:val="22"/>
                <w:rFonts w:eastAsia="Calibri"/>
                <w:lang w:val="ru-RU" w:eastAsia="en-US" w:bidi="ar-SA"/>
              </w:rPr>
              <w:t>8.2</w:t>
            </w:r>
            <w:r>
              <w:rPr>
                <w:sz w:val="26"/>
                <w:kern w:val="0"/>
                <w:szCs w:val="22"/>
                <w:rFonts w:eastAsia="Calibri"/>
                <w:lang w:val="ru-RU" w:eastAsia="en-US" w:bidi="ar-SA"/>
              </w:rPr>
              <w:fldChar w:fldCharType="end"/>
            </w:r>
            <w:r>
              <w:rPr>
                <w:rFonts w:eastAsia="Calibri"/>
                <w:kern w:val="0"/>
                <w:sz w:val="26"/>
                <w:szCs w:val="22"/>
                <w:lang w:val="ru-RU" w:eastAsia="en-US" w:bidi="ar-SA"/>
              </w:rPr>
              <w:br/>
              <w:t>(</w:t>
            </w:r>
            <w:hyperlink w:anchor="Прил03_ТребованияУчастникам" w:tgtFrame="#Прил03_ТребованияУчастникам">
              <w:r>
                <w:rPr>
                  <w:rStyle w:val="Style5"/>
                  <w:rFonts w:eastAsia="Calibri"/>
                  <w:kern w:val="0"/>
                  <w:sz w:val="26"/>
                  <w:szCs w:val="22"/>
                  <w:lang w:val="ru-RU" w:eastAsia="en-US" w:bidi="ar-SA"/>
                </w:rPr>
                <w:t>Приложение № 3</w:t>
              </w:r>
            </w:hyperlink>
            <w:r>
              <w:rPr>
                <w:rFonts w:eastAsia="Calibri"/>
                <w:kern w:val="0"/>
                <w:sz w:val="26"/>
                <w:szCs w:val="22"/>
                <w:lang w:val="ru-RU" w:eastAsia="en-US" w:bidi="ar-SA"/>
              </w:rPr>
              <w:t>)</w:t>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Орг</w:t>
            </w:r>
          </w:p>
        </w:tc>
      </w:tr>
      <w:tr>
        <w:trPr/>
        <w:tc>
          <w:tcPr>
            <w:tcW w:w="1412" w:type="dxa"/>
            <w:tcBorders/>
          </w:tcPr>
          <w:p>
            <w:pPr>
              <w:pStyle w:val="Style21"/>
              <w:widowControl w:val="false"/>
              <w:numPr>
                <w:ilvl w:val="0"/>
                <w:numId w:val="12"/>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Соответствие Участника пункту 3 обязательных требований к Участникам</w:t>
            </w:r>
          </w:p>
        </w:tc>
        <w:tc>
          <w:tcPr>
            <w:tcW w:w="3117" w:type="dxa"/>
            <w:tcBorders/>
          </w:tcPr>
          <w:p>
            <w:pPr>
              <w:pStyle w:val="Style21"/>
              <w:widowControl w:val="false"/>
              <w:spacing w:before="60" w:after="60"/>
              <w:jc w:val="center"/>
              <w:rPr/>
            </w:pPr>
            <w:r>
              <w:rPr>
                <w:rFonts w:eastAsia="Calibri"/>
                <w:kern w:val="0"/>
                <w:sz w:val="26"/>
                <w:szCs w:val="22"/>
                <w:lang w:val="ru-RU" w:eastAsia="en-US" w:bidi="ar-SA"/>
              </w:rPr>
              <w:t>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_Ref125361435 \w \h </w:instrText>
            </w:r>
            <w:r>
              <w:rPr>
                <w:sz w:val="26"/>
                <w:kern w:val="0"/>
                <w:szCs w:val="22"/>
                <w:rFonts w:eastAsia="Calibri"/>
                <w:lang w:val="ru-RU" w:eastAsia="en-US" w:bidi="ar-SA"/>
              </w:rPr>
              <w:fldChar w:fldCharType="separate"/>
            </w:r>
            <w:r>
              <w:rPr>
                <w:sz w:val="26"/>
                <w:kern w:val="0"/>
                <w:szCs w:val="22"/>
                <w:rFonts w:eastAsia="Calibri"/>
                <w:lang w:val="ru-RU" w:eastAsia="en-US" w:bidi="ar-SA"/>
              </w:rPr>
              <w:t>8.2</w:t>
            </w:r>
            <w:r>
              <w:rPr>
                <w:sz w:val="26"/>
                <w:kern w:val="0"/>
                <w:szCs w:val="22"/>
                <w:rFonts w:eastAsia="Calibri"/>
                <w:lang w:val="ru-RU" w:eastAsia="en-US" w:bidi="ar-SA"/>
              </w:rPr>
              <w:fldChar w:fldCharType="end"/>
            </w:r>
            <w:r>
              <w:rPr>
                <w:rFonts w:eastAsia="Calibri"/>
                <w:kern w:val="0"/>
                <w:sz w:val="26"/>
                <w:szCs w:val="22"/>
                <w:lang w:val="ru-RU" w:eastAsia="en-US" w:bidi="ar-SA"/>
              </w:rPr>
              <w:br/>
              <w:t>(</w:t>
            </w:r>
            <w:hyperlink w:anchor="Прил03_ТребованияУчастникам" w:tgtFrame="#Прил03_ТребованияУчастникам">
              <w:r>
                <w:rPr>
                  <w:rStyle w:val="Style5"/>
                  <w:rFonts w:eastAsia="Calibri"/>
                  <w:kern w:val="0"/>
                  <w:sz w:val="26"/>
                  <w:szCs w:val="22"/>
                  <w:lang w:val="ru-RU" w:eastAsia="en-US" w:bidi="ar-SA"/>
                </w:rPr>
                <w:t>Приложение № 3</w:t>
              </w:r>
            </w:hyperlink>
            <w:r>
              <w:rPr>
                <w:rFonts w:eastAsia="Calibri"/>
                <w:kern w:val="0"/>
                <w:sz w:val="26"/>
                <w:szCs w:val="22"/>
                <w:lang w:val="ru-RU" w:eastAsia="en-US" w:bidi="ar-SA"/>
              </w:rPr>
              <w:t>)</w:t>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Орг</w:t>
            </w:r>
          </w:p>
        </w:tc>
      </w:tr>
      <w:tr>
        <w:trPr/>
        <w:tc>
          <w:tcPr>
            <w:tcW w:w="1412" w:type="dxa"/>
            <w:tcBorders/>
          </w:tcPr>
          <w:p>
            <w:pPr>
              <w:pStyle w:val="Style21"/>
              <w:widowControl w:val="false"/>
              <w:numPr>
                <w:ilvl w:val="0"/>
                <w:numId w:val="12"/>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Соответствие Участника пункту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_Ref186184202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обязательных требований к Участникам</w:t>
            </w:r>
          </w:p>
          <w:p>
            <w:pPr>
              <w:pStyle w:val="Style21"/>
              <w:widowControl w:val="false"/>
              <w:spacing w:before="60" w:after="60"/>
              <w:rPr>
                <w:i/>
                <w:i/>
                <w:iCs/>
              </w:rPr>
            </w:pPr>
            <w:r>
              <w:rPr>
                <w:rFonts w:eastAsia="Calibri"/>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i/>
                <w:iCs/>
                <w:kern w:val="0"/>
                <w:sz w:val="26"/>
                <w:szCs w:val="22"/>
                <w:lang w:val="ru-RU" w:eastAsia="en-US" w:bidi="ar-SA"/>
              </w:rPr>
              <w:fldChar w:fldCharType="begin"/>
            </w:r>
            <w:r>
              <w:rPr>
                <w:sz w:val="26"/>
                <w:i/>
                <w:kern w:val="0"/>
                <w:szCs w:val="22"/>
                <w:iCs/>
                <w:rFonts w:eastAsia="Calibri"/>
                <w:lang w:val="ru-RU" w:eastAsia="en-US" w:bidi="ar-SA"/>
              </w:rPr>
              <w:instrText xml:space="preserve"> REF _Ref149648944 \r \h </w:instrText>
            </w:r>
            <w:r>
              <w:rPr>
                <w:sz w:val="26"/>
                <w:i/>
                <w:kern w:val="0"/>
                <w:szCs w:val="22"/>
                <w:iCs/>
                <w:rFonts w:eastAsia="Calibri"/>
                <w:lang w:val="ru-RU" w:eastAsia="en-US" w:bidi="ar-SA"/>
              </w:rPr>
              <w:fldChar w:fldCharType="separate"/>
            </w:r>
            <w:r>
              <w:rPr>
                <w:sz w:val="26"/>
                <w:i/>
                <w:kern w:val="0"/>
                <w:szCs w:val="22"/>
                <w:iCs/>
                <w:rFonts w:eastAsia="Calibri"/>
                <w:lang w:val="ru-RU" w:eastAsia="en-US" w:bidi="ar-SA"/>
              </w:rPr>
              <w:t>4.17</w:t>
            </w:r>
            <w:r>
              <w:rPr>
                <w:sz w:val="26"/>
                <w:i/>
                <w:kern w:val="0"/>
                <w:szCs w:val="22"/>
                <w:iCs/>
                <w:rFonts w:eastAsia="Calibri"/>
                <w:lang w:val="ru-RU" w:eastAsia="en-US" w:bidi="ar-SA"/>
              </w:rPr>
              <w:fldChar w:fldCharType="end"/>
            </w:r>
            <w:r>
              <w:rPr>
                <w:rFonts w:eastAsia="Calibri"/>
                <w:i/>
                <w:iCs/>
                <w:kern w:val="0"/>
                <w:sz w:val="26"/>
                <w:szCs w:val="22"/>
                <w:lang w:val="ru-RU" w:eastAsia="en-US" w:bidi="ar-SA"/>
              </w:rPr>
              <w:t>))</w:t>
            </w:r>
          </w:p>
        </w:tc>
        <w:tc>
          <w:tcPr>
            <w:tcW w:w="3117" w:type="dxa"/>
            <w:tcBorders/>
          </w:tcPr>
          <w:p>
            <w:pPr>
              <w:pStyle w:val="Style21"/>
              <w:widowControl w:val="false"/>
              <w:spacing w:before="60" w:after="60"/>
              <w:jc w:val="center"/>
              <w:rPr/>
            </w:pPr>
            <w:r>
              <w:rPr>
                <w:rFonts w:eastAsia="Calibri"/>
                <w:kern w:val="0"/>
                <w:sz w:val="26"/>
                <w:szCs w:val="22"/>
                <w:lang w:val="ru-RU" w:eastAsia="en-US" w:bidi="ar-SA"/>
              </w:rPr>
              <w:t>подразделы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_Ref186183588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4.17</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_Ref125361435 \w \h </w:instrText>
            </w:r>
            <w:r>
              <w:rPr>
                <w:sz w:val="26"/>
                <w:kern w:val="0"/>
                <w:szCs w:val="22"/>
                <w:rFonts w:eastAsia="Calibri"/>
                <w:lang w:val="ru-RU" w:eastAsia="en-US" w:bidi="ar-SA"/>
              </w:rPr>
              <w:fldChar w:fldCharType="separate"/>
            </w:r>
            <w:r>
              <w:rPr>
                <w:sz w:val="26"/>
                <w:kern w:val="0"/>
                <w:szCs w:val="22"/>
                <w:rFonts w:eastAsia="Calibri"/>
                <w:lang w:val="ru-RU" w:eastAsia="en-US" w:bidi="ar-SA"/>
              </w:rPr>
              <w:t>8.2</w:t>
            </w:r>
            <w:r>
              <w:rPr>
                <w:sz w:val="26"/>
                <w:kern w:val="0"/>
                <w:szCs w:val="22"/>
                <w:rFonts w:eastAsia="Calibri"/>
                <w:lang w:val="ru-RU" w:eastAsia="en-US" w:bidi="ar-SA"/>
              </w:rPr>
              <w:fldChar w:fldCharType="end"/>
            </w:r>
            <w:r>
              <w:rPr>
                <w:rFonts w:eastAsia="Calibri"/>
                <w:kern w:val="0"/>
                <w:sz w:val="26"/>
                <w:szCs w:val="22"/>
                <w:lang w:val="ru-RU" w:eastAsia="en-US" w:bidi="ar-SA"/>
              </w:rPr>
              <w:br/>
              <w:t>(</w:t>
            </w:r>
            <w:hyperlink w:anchor="Прил03_ТребованияУчастникам" w:tgtFrame="#Прил03_ТребованияУчастникам">
              <w:r>
                <w:rPr>
                  <w:rStyle w:val="Style5"/>
                  <w:rFonts w:eastAsia="Calibri"/>
                  <w:kern w:val="0"/>
                  <w:sz w:val="26"/>
                  <w:szCs w:val="22"/>
                  <w:lang w:val="ru-RU" w:eastAsia="en-US" w:bidi="ar-SA"/>
                </w:rPr>
                <w:t>Приложение № 3</w:t>
              </w:r>
            </w:hyperlink>
            <w:r>
              <w:rPr>
                <w:rFonts w:eastAsia="Calibri"/>
                <w:kern w:val="0"/>
                <w:sz w:val="26"/>
                <w:szCs w:val="22"/>
                <w:lang w:val="ru-RU" w:eastAsia="en-US" w:bidi="ar-SA"/>
              </w:rPr>
              <w:t>)</w:t>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r>
        <w:trPr/>
        <w:tc>
          <w:tcPr>
            <w:tcW w:w="1412" w:type="dxa"/>
            <w:tcBorders/>
          </w:tcPr>
          <w:p>
            <w:pPr>
              <w:pStyle w:val="Style21"/>
              <w:widowControl w:val="false"/>
              <w:numPr>
                <w:ilvl w:val="0"/>
                <w:numId w:val="12"/>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Соответствие Участника пункту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_Ref186184207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5</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обязательных требований к Участникам</w:t>
            </w:r>
          </w:p>
          <w:p>
            <w:pPr>
              <w:pStyle w:val="Style21"/>
              <w:widowControl w:val="false"/>
              <w:spacing w:before="60" w:after="60"/>
              <w:rPr>
                <w:i/>
                <w:i/>
                <w:iCs/>
              </w:rPr>
            </w:pPr>
            <w:r>
              <w:rPr>
                <w:rFonts w:eastAsia="Calibri"/>
                <w:i/>
                <w:iCs/>
                <w:kern w:val="0"/>
                <w:sz w:val="26"/>
                <w:szCs w:val="22"/>
                <w:lang w:val="ru-RU" w:eastAsia="en-US" w:bidi="ar-SA"/>
              </w:rPr>
              <w:t>(пункт применяется только в случае установления режима ограничения закупки иностранной продукции (подраздел </w:t>
            </w:r>
            <w:r>
              <w:rPr>
                <w:rFonts w:eastAsia="Calibri"/>
                <w:i/>
                <w:iCs/>
                <w:kern w:val="0"/>
                <w:sz w:val="26"/>
                <w:szCs w:val="22"/>
                <w:lang w:val="ru-RU" w:eastAsia="en-US" w:bidi="ar-SA"/>
              </w:rPr>
              <w:fldChar w:fldCharType="begin"/>
            </w:r>
            <w:r>
              <w:rPr>
                <w:sz w:val="26"/>
                <w:i/>
                <w:kern w:val="0"/>
                <w:szCs w:val="22"/>
                <w:iCs/>
                <w:rFonts w:eastAsia="Calibri"/>
                <w:lang w:val="ru-RU" w:eastAsia="en-US" w:bidi="ar-SA"/>
              </w:rPr>
              <w:instrText xml:space="preserve"> REF _Ref149648944 \r \h </w:instrText>
            </w:r>
            <w:r>
              <w:rPr>
                <w:sz w:val="26"/>
                <w:i/>
                <w:kern w:val="0"/>
                <w:szCs w:val="22"/>
                <w:iCs/>
                <w:rFonts w:eastAsia="Calibri"/>
                <w:lang w:val="ru-RU" w:eastAsia="en-US" w:bidi="ar-SA"/>
              </w:rPr>
              <w:fldChar w:fldCharType="separate"/>
            </w:r>
            <w:r>
              <w:rPr>
                <w:sz w:val="26"/>
                <w:i/>
                <w:kern w:val="0"/>
                <w:szCs w:val="22"/>
                <w:iCs/>
                <w:rFonts w:eastAsia="Calibri"/>
                <w:lang w:val="ru-RU" w:eastAsia="en-US" w:bidi="ar-SA"/>
              </w:rPr>
              <w:t>4.17</w:t>
            </w:r>
            <w:r>
              <w:rPr>
                <w:sz w:val="26"/>
                <w:i/>
                <w:kern w:val="0"/>
                <w:szCs w:val="22"/>
                <w:iCs/>
                <w:rFonts w:eastAsia="Calibri"/>
                <w:lang w:val="ru-RU" w:eastAsia="en-US" w:bidi="ar-SA"/>
              </w:rPr>
              <w:fldChar w:fldCharType="end"/>
            </w:r>
            <w:r>
              <w:rPr>
                <w:rFonts w:eastAsia="Calibri"/>
                <w:i/>
                <w:iCs/>
                <w:kern w:val="0"/>
                <w:sz w:val="26"/>
                <w:szCs w:val="22"/>
                <w:lang w:val="ru-RU" w:eastAsia="en-US" w:bidi="ar-SA"/>
              </w:rPr>
              <w:t>))</w:t>
            </w:r>
          </w:p>
        </w:tc>
        <w:tc>
          <w:tcPr>
            <w:tcW w:w="3117" w:type="dxa"/>
            <w:tcBorders/>
          </w:tcPr>
          <w:p>
            <w:pPr>
              <w:pStyle w:val="Style21"/>
              <w:widowControl w:val="false"/>
              <w:spacing w:before="60" w:after="60"/>
              <w:jc w:val="center"/>
              <w:rPr/>
            </w:pPr>
            <w:r>
              <w:rPr>
                <w:rFonts w:eastAsia="Calibri"/>
                <w:kern w:val="0"/>
                <w:sz w:val="26"/>
                <w:szCs w:val="22"/>
                <w:lang w:val="ru-RU" w:eastAsia="en-US" w:bidi="ar-SA"/>
              </w:rPr>
              <w:t>подразделы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_Ref186183588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4.17</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_Ref125361435 \w \h </w:instrText>
            </w:r>
            <w:r>
              <w:rPr>
                <w:sz w:val="26"/>
                <w:kern w:val="0"/>
                <w:szCs w:val="22"/>
                <w:rFonts w:eastAsia="Calibri"/>
                <w:lang w:val="ru-RU" w:eastAsia="en-US" w:bidi="ar-SA"/>
              </w:rPr>
              <w:fldChar w:fldCharType="separate"/>
            </w:r>
            <w:r>
              <w:rPr>
                <w:sz w:val="26"/>
                <w:kern w:val="0"/>
                <w:szCs w:val="22"/>
                <w:rFonts w:eastAsia="Calibri"/>
                <w:lang w:val="ru-RU" w:eastAsia="en-US" w:bidi="ar-SA"/>
              </w:rPr>
              <w:t>8.2</w:t>
            </w:r>
            <w:r>
              <w:rPr>
                <w:sz w:val="26"/>
                <w:kern w:val="0"/>
                <w:szCs w:val="22"/>
                <w:rFonts w:eastAsia="Calibri"/>
                <w:lang w:val="ru-RU" w:eastAsia="en-US" w:bidi="ar-SA"/>
              </w:rPr>
              <w:fldChar w:fldCharType="end"/>
            </w:r>
            <w:r>
              <w:rPr>
                <w:rFonts w:eastAsia="Calibri"/>
                <w:kern w:val="0"/>
                <w:sz w:val="26"/>
                <w:szCs w:val="22"/>
                <w:lang w:val="ru-RU" w:eastAsia="en-US" w:bidi="ar-SA"/>
              </w:rPr>
              <w:br/>
              <w:t>(</w:t>
            </w:r>
            <w:hyperlink w:anchor="Прил03_ТребованияУчастникам" w:tgtFrame="#Прил03_ТребованияУчастникам">
              <w:r>
                <w:rPr>
                  <w:rStyle w:val="Style5"/>
                  <w:rFonts w:eastAsia="Calibri"/>
                  <w:kern w:val="0"/>
                  <w:sz w:val="26"/>
                  <w:szCs w:val="22"/>
                  <w:lang w:val="ru-RU" w:eastAsia="en-US" w:bidi="ar-SA"/>
                </w:rPr>
                <w:t>Приложение № 3</w:t>
              </w:r>
            </w:hyperlink>
            <w:r>
              <w:rPr>
                <w:rFonts w:eastAsia="Calibri"/>
                <w:kern w:val="0"/>
                <w:sz w:val="26"/>
                <w:szCs w:val="22"/>
                <w:lang w:val="ru-RU" w:eastAsia="en-US" w:bidi="ar-SA"/>
              </w:rPr>
              <w:t>)</w:t>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r>
        <w:trPr/>
        <w:tc>
          <w:tcPr>
            <w:tcW w:w="1412" w:type="dxa"/>
            <w:tcBorders/>
          </w:tcPr>
          <w:p>
            <w:pPr>
              <w:pStyle w:val="Style21"/>
              <w:widowControl w:val="false"/>
              <w:numPr>
                <w:ilvl w:val="0"/>
                <w:numId w:val="12"/>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Соответствие Участника специальным требованиям к Участникам</w:t>
            </w:r>
          </w:p>
          <w:p>
            <w:pPr>
              <w:pStyle w:val="Style21"/>
              <w:widowControl w:val="false"/>
              <w:spacing w:before="60" w:after="60"/>
              <w:rPr>
                <w:rFonts w:ascii="Times New Roman" w:hAnsi="Times New Roman" w:eastAsia="Calibri"/>
                <w:sz w:val="26"/>
                <w:szCs w:val="22"/>
                <w:lang w:val="ru-RU" w:eastAsia="en-US" w:bidi="ar-SA"/>
              </w:rPr>
            </w:pPr>
            <w:r>
              <w:rPr>
                <w:rFonts w:eastAsia="Calibri"/>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1"/>
              <w:widowControl w:val="false"/>
              <w:spacing w:before="60" w:after="60"/>
              <w:jc w:val="center"/>
              <w:rPr/>
            </w:pPr>
            <w:r>
              <w:rPr>
                <w:rFonts w:eastAsia="Calibri"/>
                <w:kern w:val="0"/>
                <w:sz w:val="26"/>
                <w:szCs w:val="22"/>
                <w:lang w:val="ru-RU" w:eastAsia="en-US" w:bidi="ar-SA"/>
              </w:rPr>
              <w:t>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_Ref125361442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8.3</w:t>
            </w:r>
            <w:r>
              <w:rPr>
                <w:sz w:val="26"/>
                <w:kern w:val="0"/>
                <w:szCs w:val="22"/>
                <w:rFonts w:eastAsia="Calibri"/>
                <w:lang w:val="ru-RU" w:eastAsia="en-US" w:bidi="ar-SA"/>
              </w:rPr>
              <w:fldChar w:fldCharType="end"/>
            </w:r>
            <w:r>
              <w:rPr>
                <w:rFonts w:eastAsia="Calibri"/>
                <w:kern w:val="0"/>
                <w:sz w:val="26"/>
                <w:szCs w:val="22"/>
                <w:lang w:val="ru-RU" w:eastAsia="en-US" w:bidi="ar-SA"/>
              </w:rPr>
              <w:br/>
              <w:t>(</w:t>
            </w:r>
            <w:hyperlink w:anchor="Прил03_ТребованияУчастникам" w:tgtFrame="#Прил03_ТребованияУчастникам">
              <w:r>
                <w:rPr>
                  <w:rStyle w:val="Style5"/>
                  <w:rFonts w:eastAsia="Calibri"/>
                  <w:kern w:val="0"/>
                  <w:sz w:val="26"/>
                  <w:szCs w:val="22"/>
                  <w:lang w:val="ru-RU" w:eastAsia="en-US" w:bidi="ar-SA"/>
                </w:rPr>
                <w:t>Приложение № 3</w:t>
              </w:r>
            </w:hyperlink>
            <w:r>
              <w:rPr>
                <w:rFonts w:eastAsia="Calibri"/>
                <w:kern w:val="0"/>
                <w:sz w:val="26"/>
                <w:szCs w:val="22"/>
                <w:lang w:val="ru-RU" w:eastAsia="en-US" w:bidi="ar-SA"/>
              </w:rPr>
              <w:t>)</w:t>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r>
        <w:trPr/>
        <w:tc>
          <w:tcPr>
            <w:tcW w:w="1412" w:type="dxa"/>
            <w:tcBorders/>
          </w:tcPr>
          <w:p>
            <w:pPr>
              <w:pStyle w:val="Style21"/>
              <w:widowControl w:val="false"/>
              <w:numPr>
                <w:ilvl w:val="0"/>
                <w:numId w:val="12"/>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Соответствие Генерального подрядчика установленным в отношении его требованиям:</w:t>
            </w:r>
          </w:p>
          <w:p>
            <w:pPr>
              <w:pStyle w:val="Style21"/>
              <w:widowControl w:val="false"/>
              <w:spacing w:before="60" w:after="60"/>
              <w:rPr>
                <w:i/>
                <w:i/>
                <w:iCs/>
              </w:rPr>
            </w:pPr>
            <w:r>
              <w:rPr>
                <w:rFonts w:eastAsia="Calibri"/>
                <w:i/>
                <w:iCs/>
                <w:kern w:val="0"/>
                <w:sz w:val="26"/>
                <w:szCs w:val="22"/>
                <w:lang w:val="ru-RU" w:eastAsia="en-US" w:bidi="ar-SA"/>
              </w:rPr>
              <w:t>(пункт применяется только в случае проведения закупки, принять участие в которой можно от лица Генерального подрядчика (подраздел </w:t>
            </w:r>
            <w:r>
              <w:rPr>
                <w:rFonts w:eastAsia="Calibri"/>
                <w:i/>
                <w:iCs/>
                <w:kern w:val="0"/>
                <w:sz w:val="26"/>
                <w:szCs w:val="22"/>
                <w:lang w:val="ru-RU" w:eastAsia="en-US" w:bidi="ar-SA"/>
              </w:rPr>
              <w:fldChar w:fldCharType="begin"/>
            </w:r>
            <w:r>
              <w:rPr>
                <w:sz w:val="26"/>
                <w:i/>
                <w:kern w:val="0"/>
                <w:szCs w:val="22"/>
                <w:iCs/>
                <w:rFonts w:eastAsia="Calibri"/>
                <w:lang w:val="ru-RU" w:eastAsia="en-US" w:bidi="ar-SA"/>
              </w:rPr>
              <w:instrText xml:space="preserve"> REF _Ref125359973 \r \h </w:instrText>
            </w:r>
            <w:r>
              <w:rPr>
                <w:sz w:val="26"/>
                <w:i/>
                <w:kern w:val="0"/>
                <w:szCs w:val="22"/>
                <w:iCs/>
                <w:rFonts w:eastAsia="Calibri"/>
                <w:lang w:val="ru-RU" w:eastAsia="en-US" w:bidi="ar-SA"/>
              </w:rPr>
              <w:fldChar w:fldCharType="separate"/>
            </w:r>
            <w:r>
              <w:rPr>
                <w:sz w:val="26"/>
                <w:i/>
                <w:kern w:val="0"/>
                <w:szCs w:val="22"/>
                <w:iCs/>
                <w:rFonts w:eastAsia="Calibri"/>
                <w:lang w:val="ru-RU" w:eastAsia="en-US" w:bidi="ar-SA"/>
              </w:rPr>
              <w:t>1.2</w:t>
            </w:r>
            <w:r>
              <w:rPr>
                <w:sz w:val="26"/>
                <w:i/>
                <w:kern w:val="0"/>
                <w:szCs w:val="22"/>
                <w:iCs/>
                <w:rFonts w:eastAsia="Calibri"/>
                <w:lang w:val="ru-RU" w:eastAsia="en-US" w:bidi="ar-SA"/>
              </w:rPr>
              <w:fldChar w:fldCharType="end"/>
            </w:r>
            <w:r>
              <w:rPr>
                <w:rFonts w:eastAsia="Calibri"/>
                <w:i/>
                <w:iCs/>
                <w:kern w:val="0"/>
                <w:sz w:val="26"/>
                <w:szCs w:val="22"/>
                <w:lang w:val="ru-RU" w:eastAsia="en-US" w:bidi="ar-SA"/>
              </w:rPr>
              <w:t>, подраздел </w:t>
            </w:r>
            <w:r>
              <w:rPr>
                <w:rFonts w:eastAsia="Calibri"/>
                <w:i/>
                <w:iCs/>
                <w:kern w:val="0"/>
                <w:sz w:val="26"/>
                <w:szCs w:val="22"/>
                <w:lang w:val="ru-RU" w:eastAsia="en-US" w:bidi="ar-SA"/>
              </w:rPr>
              <w:fldChar w:fldCharType="begin"/>
            </w:r>
            <w:r>
              <w:rPr>
                <w:sz w:val="26"/>
                <w:i/>
                <w:kern w:val="0"/>
                <w:szCs w:val="22"/>
                <w:iCs/>
                <w:rFonts w:eastAsia="Calibri"/>
                <w:lang w:val="ru-RU" w:eastAsia="en-US" w:bidi="ar-SA"/>
              </w:rPr>
              <w:instrText xml:space="preserve"> REF _Ref125361702 \r \h </w:instrText>
            </w:r>
            <w:r>
              <w:rPr>
                <w:sz w:val="26"/>
                <w:i/>
                <w:kern w:val="0"/>
                <w:szCs w:val="22"/>
                <w:iCs/>
                <w:rFonts w:eastAsia="Calibri"/>
                <w:lang w:val="ru-RU" w:eastAsia="en-US" w:bidi="ar-SA"/>
              </w:rPr>
              <w:fldChar w:fldCharType="separate"/>
            </w:r>
            <w:r>
              <w:rPr>
                <w:sz w:val="26"/>
                <w:i/>
                <w:kern w:val="0"/>
                <w:szCs w:val="22"/>
                <w:iCs/>
                <w:rFonts w:eastAsia="Calibri"/>
                <w:lang w:val="ru-RU" w:eastAsia="en-US" w:bidi="ar-SA"/>
              </w:rPr>
              <w:t>3.2</w:t>
            </w:r>
            <w:r>
              <w:rPr>
                <w:sz w:val="26"/>
                <w:i/>
                <w:kern w:val="0"/>
                <w:szCs w:val="22"/>
                <w:iCs/>
                <w:rFonts w:eastAsia="Calibri"/>
                <w:lang w:val="ru-RU" w:eastAsia="en-US" w:bidi="ar-SA"/>
              </w:rPr>
              <w:fldChar w:fldCharType="end"/>
            </w:r>
            <w:r>
              <w:rPr>
                <w:rFonts w:eastAsia="Calibri"/>
                <w:i/>
                <w:iCs/>
                <w:kern w:val="0"/>
                <w:sz w:val="26"/>
                <w:szCs w:val="22"/>
                <w:lang w:val="ru-RU" w:eastAsia="en-US" w:bidi="ar-SA"/>
              </w:rPr>
              <w:t>) и заявка подана от его лица)</w:t>
            </w:r>
          </w:p>
        </w:tc>
        <w:tc>
          <w:tcPr>
            <w:tcW w:w="3117"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b/>
                <w:bCs/>
                <w:kern w:val="0"/>
                <w:sz w:val="26"/>
                <w:szCs w:val="22"/>
                <w:lang w:val="ru-RU" w:eastAsia="en-US" w:bidi="ar-SA"/>
              </w:rPr>
              <w:t>–</w:t>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b/>
                <w:bCs/>
                <w:kern w:val="0"/>
                <w:sz w:val="26"/>
                <w:szCs w:val="22"/>
                <w:lang w:val="ru-RU" w:eastAsia="en-US" w:bidi="ar-SA"/>
              </w:rPr>
              <w:t>–</w:t>
            </w:r>
          </w:p>
        </w:tc>
      </w:tr>
      <w:tr>
        <w:trPr/>
        <w:tc>
          <w:tcPr>
            <w:tcW w:w="1412" w:type="dxa"/>
            <w:tcBorders/>
          </w:tcPr>
          <w:p>
            <w:pPr>
              <w:pStyle w:val="Style21"/>
              <w:widowControl w:val="false"/>
              <w:numPr>
                <w:ilvl w:val="1"/>
                <w:numId w:val="12"/>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numPr>
                <w:ilvl w:val="0"/>
                <w:numId w:val="8"/>
              </w:numPr>
              <w:spacing w:before="60" w:after="60"/>
              <w:ind w:left="284" w:hanging="284"/>
              <w:rPr>
                <w:rFonts w:ascii="Times New Roman" w:hAnsi="Times New Roman" w:eastAsia="Calibri"/>
                <w:sz w:val="26"/>
                <w:szCs w:val="22"/>
                <w:lang w:val="ru-RU" w:eastAsia="en-US" w:bidi="ar-SA"/>
              </w:rPr>
            </w:pPr>
            <w:r>
              <w:rPr>
                <w:rFonts w:eastAsia="Calibri"/>
                <w:kern w:val="0"/>
                <w:sz w:val="26"/>
                <w:szCs w:val="22"/>
                <w:lang w:val="ru-RU" w:eastAsia="en-US" w:bidi="ar-SA"/>
              </w:rPr>
              <w:t>в части требований пунктов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_Ref125370187 \w \h </w:instrText>
            </w:r>
            <w:r>
              <w:rPr>
                <w:sz w:val="26"/>
                <w:kern w:val="0"/>
                <w:szCs w:val="22"/>
                <w:rFonts w:eastAsia="Calibri"/>
                <w:lang w:val="ru-RU" w:eastAsia="en-US" w:bidi="ar-SA"/>
              </w:rPr>
              <w:fldChar w:fldCharType="separate"/>
            </w:r>
            <w:r>
              <w:rPr>
                <w:sz w:val="26"/>
                <w:kern w:val="0"/>
                <w:szCs w:val="22"/>
                <w:rFonts w:eastAsia="Calibri"/>
                <w:lang w:val="ru-RU" w:eastAsia="en-US" w:bidi="ar-SA"/>
              </w:rPr>
              <w:t>1</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_Ref125553847 \w \h </w:instrText>
            </w:r>
            <w:r>
              <w:rPr>
                <w:sz w:val="26"/>
                <w:kern w:val="0"/>
                <w:szCs w:val="22"/>
                <w:rFonts w:eastAsia="Calibri"/>
                <w:lang w:val="ru-RU" w:eastAsia="en-US" w:bidi="ar-SA"/>
              </w:rPr>
              <w:fldChar w:fldCharType="separate"/>
            </w:r>
            <w:r>
              <w:rPr>
                <w:sz w:val="26"/>
                <w:kern w:val="0"/>
                <w:szCs w:val="22"/>
                <w:rFonts w:eastAsia="Calibri"/>
                <w:lang w:val="ru-RU" w:eastAsia="en-US" w:bidi="ar-SA"/>
              </w:rPr>
              <w:t>3</w:t>
            </w:r>
            <w:r>
              <w:rPr>
                <w:sz w:val="26"/>
                <w:kern w:val="0"/>
                <w:szCs w:val="22"/>
                <w:rFonts w:eastAsia="Calibri"/>
                <w:lang w:val="ru-RU" w:eastAsia="en-US" w:bidi="ar-SA"/>
              </w:rPr>
              <w:fldChar w:fldCharType="end"/>
            </w:r>
          </w:p>
        </w:tc>
        <w:tc>
          <w:tcPr>
            <w:tcW w:w="3117" w:type="dxa"/>
            <w:tcBorders/>
          </w:tcPr>
          <w:p>
            <w:pPr>
              <w:pStyle w:val="Style21"/>
              <w:widowControl w:val="false"/>
              <w:spacing w:before="60" w:after="60"/>
              <w:jc w:val="center"/>
              <w:rPr/>
            </w:pPr>
            <w:r>
              <w:rPr>
                <w:rFonts w:eastAsia="Calibri"/>
                <w:kern w:val="0"/>
                <w:sz w:val="26"/>
                <w:szCs w:val="22"/>
                <w:lang w:val="ru-RU" w:eastAsia="en-US" w:bidi="ar-SA"/>
              </w:rPr>
              <w:t>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_Ref125709777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8.4</w:t>
            </w:r>
            <w:r>
              <w:rPr>
                <w:sz w:val="26"/>
                <w:kern w:val="0"/>
                <w:szCs w:val="22"/>
                <w:rFonts w:eastAsia="Calibri"/>
                <w:lang w:val="ru-RU" w:eastAsia="en-US" w:bidi="ar-SA"/>
              </w:rPr>
              <w:fldChar w:fldCharType="end"/>
            </w:r>
            <w:r>
              <w:rPr>
                <w:rFonts w:eastAsia="Calibri"/>
                <w:kern w:val="0"/>
                <w:sz w:val="26"/>
                <w:szCs w:val="22"/>
                <w:lang w:val="ru-RU" w:eastAsia="en-US" w:bidi="ar-SA"/>
              </w:rPr>
              <w:br/>
              <w:t>(</w:t>
            </w:r>
            <w:hyperlink w:anchor="Прил03_ТребованияУчастникам" w:tgtFrame="#Прил03_ТребованияУчастникам">
              <w:r>
                <w:rPr>
                  <w:rStyle w:val="Style5"/>
                  <w:rFonts w:eastAsia="Calibri"/>
                  <w:kern w:val="0"/>
                  <w:sz w:val="26"/>
                  <w:szCs w:val="22"/>
                  <w:lang w:val="ru-RU" w:eastAsia="en-US" w:bidi="ar-SA"/>
                </w:rPr>
                <w:t>Приложение № 3</w:t>
              </w:r>
            </w:hyperlink>
            <w:r>
              <w:rPr>
                <w:rFonts w:eastAsia="Calibri"/>
                <w:kern w:val="0"/>
                <w:sz w:val="26"/>
                <w:szCs w:val="22"/>
                <w:lang w:val="ru-RU" w:eastAsia="en-US" w:bidi="ar-SA"/>
              </w:rPr>
              <w:t>)</w:t>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r>
        <w:trPr/>
        <w:tc>
          <w:tcPr>
            <w:tcW w:w="1412" w:type="dxa"/>
            <w:tcBorders/>
          </w:tcPr>
          <w:p>
            <w:pPr>
              <w:pStyle w:val="Style21"/>
              <w:widowControl w:val="false"/>
              <w:numPr>
                <w:ilvl w:val="1"/>
                <w:numId w:val="12"/>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numPr>
                <w:ilvl w:val="0"/>
                <w:numId w:val="8"/>
              </w:numPr>
              <w:spacing w:before="60" w:after="60"/>
              <w:ind w:left="284" w:hanging="284"/>
              <w:rPr>
                <w:rFonts w:ascii="Times New Roman" w:hAnsi="Times New Roman" w:eastAsia="Calibri"/>
                <w:sz w:val="26"/>
                <w:szCs w:val="22"/>
                <w:lang w:val="ru-RU" w:eastAsia="en-US" w:bidi="ar-SA"/>
              </w:rPr>
            </w:pPr>
            <w:r>
              <w:rPr>
                <w:rFonts w:eastAsia="Calibri"/>
                <w:kern w:val="0"/>
                <w:sz w:val="26"/>
                <w:szCs w:val="22"/>
                <w:lang w:val="ru-RU" w:eastAsia="en-US" w:bidi="ar-SA"/>
              </w:rPr>
              <w:t>в части требований пункта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_Ref125370193 \w \h </w:instrText>
            </w:r>
            <w:r>
              <w:rPr>
                <w:sz w:val="26"/>
                <w:kern w:val="0"/>
                <w:szCs w:val="22"/>
                <w:rFonts w:eastAsia="Calibri"/>
                <w:lang w:val="ru-RU" w:eastAsia="en-US" w:bidi="ar-SA"/>
              </w:rPr>
              <w:fldChar w:fldCharType="separate"/>
            </w:r>
            <w:r>
              <w:rPr>
                <w:sz w:val="26"/>
                <w:kern w:val="0"/>
                <w:szCs w:val="22"/>
                <w:rFonts w:eastAsia="Calibri"/>
                <w:lang w:val="ru-RU" w:eastAsia="en-US" w:bidi="ar-SA"/>
              </w:rPr>
              <w:t>2</w:t>
            </w:r>
            <w:r>
              <w:rPr>
                <w:sz w:val="26"/>
                <w:kern w:val="0"/>
                <w:szCs w:val="22"/>
                <w:rFonts w:eastAsia="Calibri"/>
                <w:lang w:val="ru-RU" w:eastAsia="en-US" w:bidi="ar-SA"/>
              </w:rPr>
              <w:fldChar w:fldCharType="end"/>
            </w:r>
          </w:p>
        </w:tc>
        <w:tc>
          <w:tcPr>
            <w:tcW w:w="3117" w:type="dxa"/>
            <w:tcBorders/>
          </w:tcPr>
          <w:p>
            <w:pPr>
              <w:pStyle w:val="Style21"/>
              <w:widowControl w:val="false"/>
              <w:spacing w:before="60" w:after="60"/>
              <w:jc w:val="center"/>
              <w:rPr/>
            </w:pPr>
            <w:r>
              <w:rPr>
                <w:rFonts w:eastAsia="Calibri"/>
                <w:kern w:val="0"/>
                <w:sz w:val="26"/>
                <w:szCs w:val="22"/>
                <w:lang w:val="ru-RU" w:eastAsia="en-US" w:bidi="ar-SA"/>
              </w:rPr>
              <w:t>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_Ref125709777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8.4</w:t>
            </w:r>
            <w:r>
              <w:rPr>
                <w:sz w:val="26"/>
                <w:kern w:val="0"/>
                <w:szCs w:val="22"/>
                <w:rFonts w:eastAsia="Calibri"/>
                <w:lang w:val="ru-RU" w:eastAsia="en-US" w:bidi="ar-SA"/>
              </w:rPr>
              <w:fldChar w:fldCharType="end"/>
            </w:r>
            <w:r>
              <w:rPr>
                <w:rFonts w:eastAsia="Calibri"/>
                <w:kern w:val="0"/>
                <w:sz w:val="26"/>
                <w:szCs w:val="22"/>
                <w:lang w:val="ru-RU" w:eastAsia="en-US" w:bidi="ar-SA"/>
              </w:rPr>
              <w:br/>
              <w:t>(</w:t>
            </w:r>
            <w:hyperlink w:anchor="Прил03_ТребованияУчастникам" w:tgtFrame="#Прил03_ТребованияУчастникам">
              <w:r>
                <w:rPr>
                  <w:rStyle w:val="Style5"/>
                  <w:rFonts w:eastAsia="Calibri"/>
                  <w:kern w:val="0"/>
                  <w:sz w:val="26"/>
                  <w:szCs w:val="22"/>
                  <w:lang w:val="ru-RU" w:eastAsia="en-US" w:bidi="ar-SA"/>
                </w:rPr>
                <w:t>Приложение № 3</w:t>
              </w:r>
            </w:hyperlink>
            <w:r>
              <w:rPr>
                <w:rFonts w:eastAsia="Calibri"/>
                <w:kern w:val="0"/>
                <w:sz w:val="26"/>
                <w:szCs w:val="22"/>
                <w:lang w:val="ru-RU" w:eastAsia="en-US" w:bidi="ar-SA"/>
              </w:rPr>
              <w:t>)</w:t>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Орг, Тех</w:t>
            </w:r>
          </w:p>
        </w:tc>
      </w:tr>
      <w:tr>
        <w:trPr/>
        <w:tc>
          <w:tcPr>
            <w:tcW w:w="9918" w:type="dxa"/>
            <w:gridSpan w:val="2"/>
            <w:tcBorders/>
          </w:tcPr>
          <w:p>
            <w:pPr>
              <w:pStyle w:val="Style21"/>
              <w:keepNext w:val="true"/>
              <w:widowControl w:val="false"/>
              <w:spacing w:before="60" w:after="60"/>
              <w:rPr>
                <w:b/>
                <w:bCs/>
              </w:rPr>
            </w:pPr>
            <w:r>
              <w:rPr>
                <w:rFonts w:eastAsia="Calibri"/>
                <w:b/>
                <w:bCs/>
                <w:kern w:val="0"/>
                <w:sz w:val="26"/>
                <w:szCs w:val="22"/>
                <w:lang w:val="ru-RU" w:eastAsia="en-US" w:bidi="ar-SA"/>
              </w:rPr>
              <w:t xml:space="preserve">Соответствие Технического предложения Участника </w:t>
            </w:r>
            <w:hyperlink w:anchor="Прил01_ТехТребования" w:tgtFrame="#Прил01_ТехТребования">
              <w:r>
                <w:rPr>
                  <w:rStyle w:val="Style5"/>
                  <w:rFonts w:eastAsia="Calibri"/>
                  <w:b/>
                  <w:bCs/>
                  <w:kern w:val="0"/>
                  <w:sz w:val="26"/>
                  <w:szCs w:val="22"/>
                  <w:lang w:val="ru-RU" w:eastAsia="en-US" w:bidi="ar-SA"/>
                </w:rPr>
                <w:t>Техническим требованиям (Приложение № 1)</w:t>
              </w:r>
            </w:hyperlink>
            <w:r>
              <w:rPr>
                <w:rFonts w:eastAsia="Calibri"/>
                <w:b/>
                <w:bCs/>
                <w:kern w:val="0"/>
                <w:sz w:val="26"/>
                <w:szCs w:val="22"/>
                <w:lang w:val="ru-RU" w:eastAsia="en-US" w:bidi="ar-SA"/>
              </w:rPr>
              <w:t>, в том числе:</w:t>
            </w:r>
          </w:p>
        </w:tc>
        <w:tc>
          <w:tcPr>
            <w:tcW w:w="3117" w:type="dxa"/>
            <w:tcBorders/>
          </w:tcPr>
          <w:p>
            <w:pPr>
              <w:pStyle w:val="Style21"/>
              <w:keepNext w:val="true"/>
              <w:widowControl w:val="false"/>
              <w:spacing w:before="60" w:after="60"/>
              <w:jc w:val="center"/>
              <w:rPr>
                <w:b/>
                <w:bCs/>
              </w:rPr>
            </w:pPr>
            <w:r>
              <w:rPr>
                <w:rFonts w:eastAsia="Calibri"/>
                <w:b/>
                <w:bCs/>
                <w:kern w:val="0"/>
                <w:sz w:val="26"/>
                <w:szCs w:val="22"/>
                <w:lang w:val="ru-RU" w:eastAsia="en-US" w:bidi="ar-SA"/>
              </w:rPr>
              <w:t>–</w:t>
            </w:r>
          </w:p>
        </w:tc>
        <w:tc>
          <w:tcPr>
            <w:tcW w:w="2090" w:type="dxa"/>
            <w:tcBorders/>
          </w:tcPr>
          <w:p>
            <w:pPr>
              <w:pStyle w:val="Style21"/>
              <w:keepNext w:val="true"/>
              <w:widowControl w:val="false"/>
              <w:spacing w:before="60" w:after="60"/>
              <w:jc w:val="center"/>
              <w:rPr>
                <w:b/>
                <w:bCs/>
              </w:rPr>
            </w:pPr>
            <w:r>
              <w:rPr>
                <w:rFonts w:eastAsia="Calibri"/>
                <w:b/>
                <w:bCs/>
                <w:kern w:val="0"/>
                <w:sz w:val="26"/>
                <w:szCs w:val="22"/>
                <w:lang w:val="ru-RU" w:eastAsia="en-US" w:bidi="ar-SA"/>
              </w:rPr>
              <w:t>–</w:t>
            </w:r>
          </w:p>
        </w:tc>
      </w:tr>
      <w:tr>
        <w:trPr/>
        <w:tc>
          <w:tcPr>
            <w:tcW w:w="1412" w:type="dxa"/>
            <w:tcBorders/>
          </w:tcPr>
          <w:p>
            <w:pPr>
              <w:pStyle w:val="Style21"/>
              <w:widowControl w:val="false"/>
              <w:numPr>
                <w:ilvl w:val="0"/>
                <w:numId w:val="12"/>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Соответствие предложения требованиям к стране происхождения поставляемого товара, установленным в Технических требованиях</w:t>
            </w:r>
          </w:p>
          <w:p>
            <w:pPr>
              <w:pStyle w:val="Style21"/>
              <w:widowControl w:val="false"/>
              <w:spacing w:before="60" w:after="60"/>
              <w:rPr>
                <w:i/>
                <w:i/>
                <w:iCs/>
              </w:rPr>
            </w:pPr>
            <w:r>
              <w:rPr>
                <w:rFonts w:eastAsia="Calibri"/>
                <w:i/>
                <w:iCs/>
                <w:kern w:val="0"/>
                <w:sz w:val="26"/>
                <w:szCs w:val="22"/>
                <w:lang w:val="ru-RU" w:eastAsia="en-US" w:bidi="ar-SA"/>
              </w:rPr>
              <w:t>(пункт применяется только в случае исполнения Заказчиком норм в части минимальной обязательной доли закупок товаров российского происхождения (подраздел</w:t>
            </w:r>
            <w:r>
              <w:rPr>
                <w:rFonts w:eastAsia="Calibri"/>
                <w:i/>
                <w:iCs/>
                <w:kern w:val="0"/>
                <w:sz w:val="26"/>
                <w:szCs w:val="22"/>
                <w:lang w:val="en-US" w:eastAsia="en-US" w:bidi="ar-SA"/>
              </w:rPr>
              <w:t> </w:t>
            </w:r>
            <w:r>
              <w:rPr>
                <w:rFonts w:eastAsia="Calibri"/>
                <w:i/>
                <w:iCs/>
                <w:kern w:val="0"/>
                <w:sz w:val="26"/>
                <w:szCs w:val="22"/>
                <w:lang w:val="en-US" w:eastAsia="en-US" w:bidi="ar-SA"/>
              </w:rPr>
              <w:fldChar w:fldCharType="begin"/>
            </w:r>
            <w:r>
              <w:rPr>
                <w:sz w:val="26"/>
                <w:i/>
                <w:kern w:val="0"/>
                <w:szCs w:val="22"/>
                <w:iCs/>
                <w:rFonts w:eastAsia="Calibri"/>
                <w:lang w:val="en-US" w:eastAsia="en-US" w:bidi="ar-SA"/>
              </w:rPr>
              <w:instrText xml:space="preserve"> REF _Ref186183588 \r \h </w:instrText>
            </w:r>
            <w:r>
              <w:rPr>
                <w:sz w:val="26"/>
                <w:i/>
                <w:kern w:val="0"/>
                <w:szCs w:val="22"/>
                <w:iCs/>
                <w:rFonts w:eastAsia="Calibri"/>
                <w:lang w:val="en-US" w:eastAsia="en-US" w:bidi="ar-SA"/>
              </w:rPr>
              <w:fldChar w:fldCharType="separate"/>
            </w:r>
            <w:r>
              <w:rPr>
                <w:sz w:val="26"/>
                <w:i/>
                <w:kern w:val="0"/>
                <w:szCs w:val="22"/>
                <w:iCs/>
                <w:rFonts w:eastAsia="Calibri"/>
                <w:lang w:val="en-US" w:eastAsia="en-US" w:bidi="ar-SA"/>
              </w:rPr>
              <w:t>4.17</w:t>
            </w:r>
            <w:r>
              <w:rPr>
                <w:sz w:val="26"/>
                <w:i/>
                <w:kern w:val="0"/>
                <w:szCs w:val="22"/>
                <w:iCs/>
                <w:rFonts w:eastAsia="Calibri"/>
                <w:lang w:val="en-US" w:eastAsia="en-US" w:bidi="ar-SA"/>
              </w:rPr>
              <w:fldChar w:fldCharType="end"/>
            </w:r>
            <w:r>
              <w:rPr>
                <w:rFonts w:eastAsia="Calibri"/>
                <w:i/>
                <w:iCs/>
                <w:kern w:val="0"/>
                <w:sz w:val="26"/>
                <w:szCs w:val="22"/>
                <w:lang w:val="ru-RU" w:eastAsia="en-US" w:bidi="ar-SA"/>
              </w:rPr>
              <w:t>))</w:t>
            </w:r>
          </w:p>
        </w:tc>
        <w:tc>
          <w:tcPr>
            <w:tcW w:w="3117" w:type="dxa"/>
            <w:tcBorders/>
          </w:tcPr>
          <w:p>
            <w:pPr>
              <w:pStyle w:val="Style21"/>
              <w:widowControl w:val="false"/>
              <w:spacing w:before="60" w:after="60"/>
              <w:jc w:val="center"/>
              <w:rPr/>
            </w:pPr>
            <w:r>
              <w:rPr>
                <w:rFonts w:eastAsia="Calibri"/>
                <w:kern w:val="0"/>
                <w:sz w:val="26"/>
                <w:szCs w:val="22"/>
                <w:lang w:val="ru-RU" w:eastAsia="en-US" w:bidi="ar-SA"/>
              </w:rPr>
              <w:t>подразделы</w:t>
            </w:r>
            <w:r>
              <w:rPr>
                <w:rFonts w:eastAsia="Calibri"/>
                <w:kern w:val="0"/>
                <w:sz w:val="26"/>
                <w:szCs w:val="22"/>
                <w:lang w:val="en-US" w:eastAsia="en-US" w:bidi="ar-SA"/>
              </w:rPr>
              <w:t> </w:t>
            </w:r>
            <w:r>
              <w:rPr>
                <w:rFonts w:eastAsia="Calibri"/>
                <w:kern w:val="0"/>
                <w:sz w:val="26"/>
                <w:szCs w:val="22"/>
                <w:lang w:val="en-US" w:eastAsia="en-US" w:bidi="ar-SA"/>
              </w:rPr>
              <w:fldChar w:fldCharType="begin"/>
            </w:r>
            <w:r>
              <w:rPr>
                <w:sz w:val="26"/>
                <w:kern w:val="0"/>
                <w:szCs w:val="22"/>
                <w:rFonts w:eastAsia="Calibri"/>
                <w:lang w:val="en-US" w:eastAsia="en-US" w:bidi="ar-SA"/>
              </w:rPr>
              <w:instrText xml:space="preserve"> REF _Ref130281199 \r \h </w:instrText>
            </w:r>
            <w:r>
              <w:rPr>
                <w:sz w:val="26"/>
                <w:kern w:val="0"/>
                <w:szCs w:val="22"/>
                <w:rFonts w:eastAsia="Calibri"/>
                <w:lang w:val="en-US" w:eastAsia="en-US" w:bidi="ar-SA"/>
              </w:rPr>
              <w:fldChar w:fldCharType="separate"/>
            </w:r>
            <w:r>
              <w:rPr>
                <w:sz w:val="26"/>
                <w:kern w:val="0"/>
                <w:szCs w:val="22"/>
                <w:rFonts w:eastAsia="Calibri"/>
                <w:lang w:val="en-US" w:eastAsia="en-US" w:bidi="ar-SA"/>
              </w:rPr>
              <w:t>4.3</w:t>
            </w:r>
            <w:r>
              <w:rPr>
                <w:sz w:val="26"/>
                <w:kern w:val="0"/>
                <w:szCs w:val="22"/>
                <w:rFonts w:eastAsia="Calibri"/>
                <w:lang w:val="en-US" w:eastAsia="en-US" w:bidi="ar-SA"/>
              </w:rPr>
              <w:fldChar w:fldCharType="end"/>
            </w:r>
            <w:r>
              <w:rPr>
                <w:rFonts w:eastAsia="Calibri"/>
                <w:kern w:val="0"/>
                <w:sz w:val="26"/>
                <w:szCs w:val="22"/>
                <w:lang w:val="ru-RU" w:eastAsia="en-US" w:bidi="ar-SA"/>
              </w:rPr>
              <w:t xml:space="preserve">,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_Ref186183588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4.17</w:t>
            </w:r>
            <w:r>
              <w:rPr>
                <w:sz w:val="26"/>
                <w:kern w:val="0"/>
                <w:szCs w:val="22"/>
                <w:rFonts w:eastAsia="Calibri"/>
                <w:lang w:val="ru-RU" w:eastAsia="en-US" w:bidi="ar-SA"/>
              </w:rPr>
              <w:fldChar w:fldCharType="end"/>
            </w:r>
            <w:r>
              <w:rPr>
                <w:rFonts w:eastAsia="Calibri"/>
                <w:kern w:val="0"/>
                <w:sz w:val="26"/>
                <w:szCs w:val="22"/>
                <w:lang w:val="en-US" w:eastAsia="en-US" w:bidi="ar-SA"/>
              </w:rPr>
              <w:br/>
            </w:r>
            <w:hyperlink w:anchor="Прил01_ТехТребования" w:tgtFrame="#Прил01_ТехТребования">
              <w:r>
                <w:rPr>
                  <w:rStyle w:val="Style5"/>
                  <w:rFonts w:eastAsia="Calibri"/>
                  <w:kern w:val="0"/>
                  <w:sz w:val="26"/>
                  <w:szCs w:val="22"/>
                  <w:lang w:val="ru-RU" w:eastAsia="en-US" w:bidi="ar-SA"/>
                </w:rPr>
                <w:t>Приложение № 1</w:t>
              </w:r>
            </w:hyperlink>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r>
        <w:trPr/>
        <w:tc>
          <w:tcPr>
            <w:tcW w:w="1412" w:type="dxa"/>
            <w:tcBorders/>
          </w:tcPr>
          <w:p>
            <w:pPr>
              <w:pStyle w:val="Style21"/>
              <w:widowControl w:val="false"/>
              <w:numPr>
                <w:ilvl w:val="0"/>
                <w:numId w:val="12"/>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pPr>
            <w:r>
              <w:rPr>
                <w:rFonts w:eastAsia="Calibri"/>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tgtFrame="#Прил01_ТехТребования">
              <w:r>
                <w:rPr>
                  <w:rStyle w:val="Style5"/>
                  <w:rFonts w:eastAsia="Calibri"/>
                  <w:kern w:val="0"/>
                  <w:sz w:val="26"/>
                  <w:szCs w:val="22"/>
                  <w:lang w:val="ru-RU" w:eastAsia="en-US" w:bidi="ar-SA"/>
                </w:rPr>
                <w:t>Технических требованиях (Приложение № 1)</w:t>
              </w:r>
            </w:hyperlink>
            <w:r>
              <w:rPr>
                <w:rFonts w:eastAsia="Calibri"/>
                <w:kern w:val="0"/>
                <w:sz w:val="26"/>
                <w:szCs w:val="22"/>
                <w:lang w:val="ru-RU" w:eastAsia="en-US" w:bidi="ar-SA"/>
              </w:rPr>
              <w:t>, с предоставлением требуемых подтверждающих документов</w:t>
            </w:r>
          </w:p>
          <w:p>
            <w:pPr>
              <w:pStyle w:val="Style21"/>
              <w:widowControl w:val="false"/>
              <w:spacing w:before="60" w:after="60"/>
              <w:rPr>
                <w:rFonts w:ascii="Times New Roman" w:hAnsi="Times New Roman" w:eastAsia="Calibri"/>
                <w:sz w:val="26"/>
                <w:szCs w:val="22"/>
                <w:lang w:val="ru-RU" w:eastAsia="en-US" w:bidi="ar-SA"/>
              </w:rPr>
            </w:pPr>
            <w:r>
              <w:rPr>
                <w:rFonts w:eastAsia="Calibri"/>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1"/>
              <w:widowControl w:val="false"/>
              <w:spacing w:before="60" w:after="60"/>
              <w:jc w:val="center"/>
              <w:rPr/>
            </w:pPr>
            <w:hyperlink w:anchor="Прил01_ТехТребования" w:tgtFrame="#Прил01_ТехТребования">
              <w:r>
                <w:rPr>
                  <w:rStyle w:val="Style5"/>
                  <w:rFonts w:eastAsia="Calibri"/>
                  <w:kern w:val="0"/>
                  <w:sz w:val="26"/>
                  <w:szCs w:val="22"/>
                  <w:lang w:val="ru-RU" w:eastAsia="en-US" w:bidi="ar-SA"/>
                </w:rPr>
                <w:t>Приложение № 1</w:t>
              </w:r>
            </w:hyperlink>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bl>
    <w:p>
      <w:pPr>
        <w:pStyle w:val="Style16"/>
        <w:spacing w:before="360" w:after="120"/>
        <w:rPr>
          <w:rStyle w:val="Style2"/>
          <w:i w:val="false"/>
          <w:i w:val="false"/>
          <w:iCs w:val="false"/>
          <w:shd w:fill="auto" w:val="clear"/>
        </w:rPr>
      </w:pPr>
      <w:bookmarkStart w:id="397" w:name="_Toc228877258"/>
      <w:r>
        <w:rPr>
          <w:rStyle w:val="Style2"/>
          <w:i w:val="false"/>
          <w:iCs w:val="false"/>
          <w:shd w:fill="auto" w:val="clear"/>
        </w:rPr>
        <w:t>Отборочные критерии рассмотрения ценовых предложений</w:t>
      </w:r>
      <w:bookmarkEnd w:id="397"/>
    </w:p>
    <w:tbl>
      <w:tblPr>
        <w:tblStyle w:val="1482"/>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tc>
          <w:tcPr>
            <w:tcW w:w="1412"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Номер</w:t>
              <w:br/>
              <w:t>критерия</w:t>
            </w:r>
          </w:p>
        </w:tc>
        <w:tc>
          <w:tcPr>
            <w:tcW w:w="8506"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Наименование</w:t>
              <w:br/>
              <w:t>отборочного критерия</w:t>
            </w:r>
          </w:p>
        </w:tc>
        <w:tc>
          <w:tcPr>
            <w:tcW w:w="3117"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Номер пункта</w:t>
              <w:br/>
              <w:t>Документации о закупке</w:t>
            </w:r>
          </w:p>
        </w:tc>
        <w:tc>
          <w:tcPr>
            <w:tcW w:w="2090"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Направления</w:t>
              <w:br/>
              <w:t>оценки заявок*</w:t>
            </w:r>
          </w:p>
        </w:tc>
      </w:tr>
      <w:tr>
        <w:trPr/>
        <w:tc>
          <w:tcPr>
            <w:tcW w:w="9918" w:type="dxa"/>
            <w:gridSpan w:val="2"/>
            <w:tcBorders/>
          </w:tcPr>
          <w:p>
            <w:pPr>
              <w:pStyle w:val="Style21"/>
              <w:keepNext w:val="true"/>
              <w:widowControl w:val="false"/>
              <w:spacing w:before="60" w:after="60"/>
              <w:rPr>
                <w:b/>
                <w:bCs/>
              </w:rPr>
            </w:pPr>
            <w:r>
              <w:rPr>
                <w:rFonts w:eastAsia="Calibri"/>
                <w:b/>
                <w:bCs/>
                <w:kern w:val="0"/>
                <w:sz w:val="26"/>
                <w:szCs w:val="22"/>
                <w:lang w:val="ru-RU" w:eastAsia="en-US" w:bidi="ar-SA"/>
              </w:rPr>
              <w:t>Состав, содержание и правильность оформления ценового предложения, в том числе:</w:t>
            </w:r>
          </w:p>
        </w:tc>
        <w:tc>
          <w:tcPr>
            <w:tcW w:w="3117" w:type="dxa"/>
            <w:tcBorders/>
          </w:tcPr>
          <w:p>
            <w:pPr>
              <w:pStyle w:val="Style21"/>
              <w:widowControl w:val="false"/>
              <w:spacing w:before="60" w:after="60"/>
              <w:jc w:val="center"/>
              <w:rPr>
                <w:b/>
                <w:bCs/>
              </w:rPr>
            </w:pPr>
            <w:r>
              <w:rPr>
                <w:rFonts w:eastAsia="Calibri"/>
                <w:b/>
                <w:bCs/>
                <w:kern w:val="0"/>
                <w:sz w:val="26"/>
                <w:szCs w:val="22"/>
                <w:lang w:val="ru-RU" w:eastAsia="en-US" w:bidi="ar-SA"/>
              </w:rPr>
              <w:t>–</w:t>
            </w:r>
          </w:p>
        </w:tc>
        <w:tc>
          <w:tcPr>
            <w:tcW w:w="2090" w:type="dxa"/>
            <w:tcBorders/>
          </w:tcPr>
          <w:p>
            <w:pPr>
              <w:pStyle w:val="Style21"/>
              <w:widowControl w:val="false"/>
              <w:spacing w:before="60" w:after="60"/>
              <w:jc w:val="center"/>
              <w:rPr>
                <w:b/>
                <w:bCs/>
              </w:rPr>
            </w:pPr>
            <w:r>
              <w:rPr>
                <w:rFonts w:eastAsia="Calibri"/>
                <w:b/>
                <w:bCs/>
                <w:kern w:val="0"/>
                <w:sz w:val="26"/>
                <w:szCs w:val="22"/>
                <w:lang w:val="ru-RU" w:eastAsia="en-US" w:bidi="ar-SA"/>
              </w:rPr>
              <w:t>–</w:t>
            </w:r>
          </w:p>
        </w:tc>
      </w:tr>
      <w:tr>
        <w:trPr/>
        <w:tc>
          <w:tcPr>
            <w:tcW w:w="1412" w:type="dxa"/>
            <w:tcBorders/>
          </w:tcPr>
          <w:p>
            <w:pPr>
              <w:pStyle w:val="Style21"/>
              <w:widowControl w:val="false"/>
              <w:numPr>
                <w:ilvl w:val="0"/>
                <w:numId w:val="13"/>
              </w:numPr>
              <w:spacing w:before="60" w:after="6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pPr>
            <w:r>
              <w:rPr>
                <w:rFonts w:eastAsia="Calibri"/>
                <w:kern w:val="0"/>
                <w:sz w:val="26"/>
                <w:szCs w:val="22"/>
                <w:lang w:val="ru-RU" w:eastAsia="en-US" w:bidi="ar-SA"/>
              </w:rPr>
              <w:t xml:space="preserve">Соответствие ценового предложения по составу требованиям </w:t>
            </w:r>
            <w:hyperlink w:anchor="Прил06_СоставЗаявки" w:tgtFrame="#Прил06_СоставЗаявки">
              <w:r>
                <w:rPr>
                  <w:rStyle w:val="Style5"/>
                  <w:rFonts w:eastAsia="Calibri"/>
                  <w:kern w:val="0"/>
                  <w:sz w:val="26"/>
                  <w:szCs w:val="22"/>
                  <w:lang w:val="ru-RU" w:eastAsia="en-US" w:bidi="ar-SA"/>
                </w:rPr>
                <w:t>Приложения № 6 «Состав заявки»</w:t>
              </w:r>
            </w:hyperlink>
            <w:r>
              <w:rPr>
                <w:rFonts w:eastAsia="Calibri"/>
                <w:kern w:val="0"/>
                <w:sz w:val="26"/>
                <w:szCs w:val="22"/>
                <w:lang w:val="ru-RU" w:eastAsia="en-US" w:bidi="ar-SA"/>
              </w:rPr>
              <w:t>, а также правильности оформления документов, входящих в его состав, в том числе установленной форме и иным и иным требованиям Документации о закупке (в т.ч. в части языка и валюты заявки)</w:t>
            </w:r>
          </w:p>
        </w:tc>
        <w:tc>
          <w:tcPr>
            <w:tcW w:w="3117" w:type="dxa"/>
            <w:tcBorders/>
          </w:tcPr>
          <w:p>
            <w:pPr>
              <w:pStyle w:val="Style21"/>
              <w:widowControl w:val="false"/>
              <w:spacing w:before="60" w:after="60"/>
              <w:jc w:val="center"/>
              <w:rPr/>
            </w:pPr>
            <w:r>
              <w:rPr>
                <w:rFonts w:eastAsia="Calibri"/>
                <w:kern w:val="0"/>
                <w:sz w:val="26"/>
                <w:szCs w:val="22"/>
                <w:lang w:val="ru-RU" w:eastAsia="en-US" w:bidi="ar-SA"/>
              </w:rPr>
              <w:t>подразделы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_Ref130394681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4.3</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_Ref125362119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4.6</w:t>
            </w:r>
            <w:r>
              <w:rPr>
                <w:sz w:val="26"/>
                <w:kern w:val="0"/>
                <w:szCs w:val="22"/>
                <w:rFonts w:eastAsia="Calibri"/>
                <w:lang w:val="ru-RU" w:eastAsia="en-US" w:bidi="ar-SA"/>
              </w:rPr>
              <w:fldChar w:fldCharType="end"/>
            </w:r>
            <w:r>
              <w:rPr>
                <w:rFonts w:eastAsia="Calibri"/>
                <w:kern w:val="0"/>
                <w:sz w:val="26"/>
                <w:szCs w:val="22"/>
                <w:lang w:val="ru-RU" w:eastAsia="en-US" w:bidi="ar-SA"/>
              </w:rPr>
              <w:t>,</w:t>
              <w:br/>
            </w:r>
            <w:hyperlink w:anchor="Прил01_ТехТребования" w:tgtFrame="#Прил01_ТехТребования">
              <w:r>
                <w:rPr>
                  <w:rStyle w:val="Style5"/>
                  <w:rFonts w:eastAsia="Calibri"/>
                  <w:kern w:val="0"/>
                  <w:sz w:val="26"/>
                  <w:szCs w:val="22"/>
                  <w:lang w:val="ru-RU" w:eastAsia="en-US" w:bidi="ar-SA"/>
                </w:rPr>
                <w:t>Приложение № 1</w:t>
              </w:r>
            </w:hyperlink>
            <w:r>
              <w:rPr>
                <w:rFonts w:eastAsia="Calibri"/>
                <w:kern w:val="0"/>
                <w:sz w:val="26"/>
                <w:szCs w:val="22"/>
                <w:lang w:val="ru-RU" w:eastAsia="en-US" w:bidi="ar-SA"/>
              </w:rPr>
              <w:t>,</w:t>
            </w:r>
          </w:p>
          <w:p>
            <w:pPr>
              <w:pStyle w:val="Style21"/>
              <w:widowControl w:val="false"/>
              <w:spacing w:before="60" w:after="60"/>
              <w:jc w:val="center"/>
              <w:rPr>
                <w:rStyle w:val="Style5"/>
              </w:rPr>
            </w:pPr>
            <w:hyperlink w:anchor="Прил06_СоставЗаявки" w:tgtFrame="#Прил06_СоставЗаявки">
              <w:r>
                <w:rPr>
                  <w:rStyle w:val="Style5"/>
                  <w:rFonts w:eastAsia="Calibri"/>
                  <w:kern w:val="0"/>
                  <w:sz w:val="26"/>
                  <w:szCs w:val="22"/>
                  <w:lang w:val="ru-RU" w:eastAsia="en-US" w:bidi="ar-SA"/>
                </w:rPr>
                <w:t>Приложение № 6</w:t>
              </w:r>
            </w:hyperlink>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Цена</w:t>
            </w:r>
          </w:p>
        </w:tc>
      </w:tr>
      <w:tr>
        <w:trPr/>
        <w:tc>
          <w:tcPr>
            <w:tcW w:w="1412" w:type="dxa"/>
            <w:tcBorders/>
          </w:tcPr>
          <w:p>
            <w:pPr>
              <w:pStyle w:val="Style21"/>
              <w:widowControl w:val="false"/>
              <w:numPr>
                <w:ilvl w:val="0"/>
                <w:numId w:val="13"/>
              </w:numPr>
              <w:spacing w:before="60" w:after="6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Отсутствие в материалах (документов) ценового предложения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w:t>
            </w:r>
          </w:p>
        </w:tc>
        <w:tc>
          <w:tcPr>
            <w:tcW w:w="3117"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подразделы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_Ref130394681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4.3</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_Ref149656148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4.14</w:t>
            </w:r>
            <w:r>
              <w:rPr>
                <w:sz w:val="26"/>
                <w:kern w:val="0"/>
                <w:szCs w:val="22"/>
                <w:rFonts w:eastAsia="Calibri"/>
                <w:lang w:val="ru-RU" w:eastAsia="en-US" w:bidi="ar-SA"/>
              </w:rPr>
              <w:fldChar w:fldCharType="end"/>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Цена</w:t>
            </w:r>
          </w:p>
        </w:tc>
      </w:tr>
      <w:tr>
        <w:trPr/>
        <w:tc>
          <w:tcPr>
            <w:tcW w:w="9918" w:type="dxa"/>
            <w:gridSpan w:val="2"/>
            <w:tcBorders/>
          </w:tcPr>
          <w:p>
            <w:pPr>
              <w:pStyle w:val="Style21"/>
              <w:keepNext w:val="true"/>
              <w:widowControl w:val="false"/>
              <w:spacing w:before="60" w:after="60"/>
              <w:rPr>
                <w:b/>
                <w:bCs/>
              </w:rPr>
            </w:pPr>
            <w:r>
              <w:rPr>
                <w:rFonts w:eastAsia="Calibri"/>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21"/>
              <w:keepNext w:val="true"/>
              <w:widowControl w:val="false"/>
              <w:spacing w:before="60" w:after="60"/>
              <w:jc w:val="center"/>
              <w:rPr>
                <w:b/>
                <w:bCs/>
              </w:rPr>
            </w:pPr>
            <w:r>
              <w:rPr>
                <w:rFonts w:eastAsia="Calibri"/>
                <w:b/>
                <w:bCs/>
                <w:kern w:val="0"/>
                <w:sz w:val="26"/>
                <w:szCs w:val="22"/>
                <w:lang w:val="ru-RU" w:eastAsia="en-US" w:bidi="ar-SA"/>
              </w:rPr>
              <w:t>–</w:t>
            </w:r>
          </w:p>
        </w:tc>
        <w:tc>
          <w:tcPr>
            <w:tcW w:w="2090" w:type="dxa"/>
            <w:tcBorders/>
          </w:tcPr>
          <w:p>
            <w:pPr>
              <w:pStyle w:val="Style21"/>
              <w:keepNext w:val="true"/>
              <w:widowControl w:val="false"/>
              <w:spacing w:before="60" w:after="60"/>
              <w:jc w:val="center"/>
              <w:rPr>
                <w:b/>
                <w:bCs/>
              </w:rPr>
            </w:pPr>
            <w:r>
              <w:rPr>
                <w:rFonts w:eastAsia="Calibri"/>
                <w:b/>
                <w:bCs/>
                <w:kern w:val="0"/>
                <w:sz w:val="26"/>
                <w:szCs w:val="22"/>
                <w:lang w:val="ru-RU" w:eastAsia="en-US" w:bidi="ar-SA"/>
              </w:rPr>
              <w:t>–</w:t>
            </w:r>
          </w:p>
        </w:tc>
      </w:tr>
      <w:tr>
        <w:trPr/>
        <w:tc>
          <w:tcPr>
            <w:tcW w:w="1412" w:type="dxa"/>
            <w:tcBorders/>
          </w:tcPr>
          <w:p>
            <w:pPr>
              <w:pStyle w:val="Style21"/>
              <w:widowControl w:val="false"/>
              <w:numPr>
                <w:ilvl w:val="0"/>
                <w:numId w:val="13"/>
              </w:numPr>
              <w:spacing w:before="60" w:after="6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bookmarkStart w:id="398" w:name="_Hlk209700351"/>
            <w:r>
              <w:rPr>
                <w:rFonts w:eastAsia="Calibri"/>
                <w:kern w:val="0"/>
                <w:sz w:val="26"/>
                <w:szCs w:val="22"/>
                <w:lang w:val="ru-RU" w:eastAsia="en-US" w:bidi="ar-SA"/>
              </w:rPr>
              <w:t>Соответствие Коммерческого предложения (оценка состава и правильности оформления документов; проверка отсутствия противоречий в представленных в составе Коммерческого предложения (и приложениях к нему) документах).</w:t>
            </w:r>
            <w:bookmarkEnd w:id="398"/>
          </w:p>
        </w:tc>
        <w:tc>
          <w:tcPr>
            <w:tcW w:w="3117" w:type="dxa"/>
            <w:tcBorders/>
          </w:tcPr>
          <w:p>
            <w:pPr>
              <w:pStyle w:val="Style21"/>
              <w:widowControl w:val="false"/>
              <w:spacing w:before="60" w:after="60"/>
              <w:jc w:val="center"/>
              <w:rPr/>
            </w:pPr>
            <w:r>
              <w:rPr>
                <w:rFonts w:eastAsia="Calibri"/>
                <w:kern w:val="0"/>
                <w:sz w:val="26"/>
                <w:szCs w:val="22"/>
                <w:lang w:val="ru-RU" w:eastAsia="en-US" w:bidi="ar-SA"/>
              </w:rPr>
              <w:t>подразделы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_Ref130394681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4.3</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_Ref149656148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4.14</w:t>
            </w:r>
            <w:r>
              <w:rPr>
                <w:sz w:val="26"/>
                <w:kern w:val="0"/>
                <w:szCs w:val="22"/>
                <w:rFonts w:eastAsia="Calibri"/>
                <w:lang w:val="ru-RU" w:eastAsia="en-US" w:bidi="ar-SA"/>
              </w:rPr>
              <w:fldChar w:fldCharType="end"/>
            </w:r>
            <w:r>
              <w:rPr>
                <w:rFonts w:eastAsia="Calibri"/>
                <w:kern w:val="0"/>
                <w:sz w:val="26"/>
                <w:szCs w:val="22"/>
                <w:lang w:val="ru-RU" w:eastAsia="en-US" w:bidi="ar-SA"/>
              </w:rPr>
              <w:br/>
            </w:r>
            <w:hyperlink w:anchor="Прил01_ТехТребования" w:tgtFrame="#Прил01_ТехТребования">
              <w:r>
                <w:rPr>
                  <w:rStyle w:val="Style5"/>
                  <w:rFonts w:eastAsia="Calibri"/>
                  <w:kern w:val="0"/>
                  <w:sz w:val="26"/>
                  <w:szCs w:val="22"/>
                  <w:lang w:val="ru-RU" w:eastAsia="en-US" w:bidi="ar-SA"/>
                </w:rPr>
                <w:t>Приложение № 1</w:t>
              </w:r>
            </w:hyperlink>
            <w:r>
              <w:rPr>
                <w:rFonts w:eastAsia="Calibri"/>
                <w:kern w:val="0"/>
                <w:sz w:val="26"/>
                <w:szCs w:val="22"/>
                <w:lang w:val="ru-RU" w:eastAsia="en-US" w:bidi="ar-SA"/>
              </w:rPr>
              <w:t>,</w:t>
              <w:br/>
            </w:r>
            <w:hyperlink w:anchor="Прил04_ФормыЗаявки" w:tgtFrame="#Прил04_ФормыЗаявки">
              <w:r>
                <w:rPr>
                  <w:rStyle w:val="Style5"/>
                  <w:rFonts w:eastAsia="Calibri"/>
                  <w:kern w:val="0"/>
                  <w:sz w:val="26"/>
                  <w:szCs w:val="22"/>
                  <w:lang w:val="ru-RU" w:eastAsia="en-US" w:bidi="ar-SA"/>
                </w:rPr>
                <w:t>Приложение № 4</w:t>
              </w:r>
            </w:hyperlink>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Цена</w:t>
            </w:r>
          </w:p>
        </w:tc>
      </w:tr>
      <w:tr>
        <w:trPr/>
        <w:tc>
          <w:tcPr>
            <w:tcW w:w="1412" w:type="dxa"/>
            <w:tcBorders/>
          </w:tcPr>
          <w:p>
            <w:pPr>
              <w:pStyle w:val="Style21"/>
              <w:widowControl w:val="false"/>
              <w:numPr>
                <w:ilvl w:val="0"/>
                <w:numId w:val="13"/>
              </w:numPr>
              <w:spacing w:before="60" w:after="6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pPr>
            <w:r>
              <w:rPr>
                <w:rFonts w:eastAsia="Calibri"/>
                <w:kern w:val="0"/>
                <w:sz w:val="26"/>
                <w:szCs w:val="22"/>
                <w:lang w:val="ru-RU" w:eastAsia="en-US" w:bidi="ar-SA"/>
              </w:rPr>
              <w:t>Соответствие предложения установленным законодательством 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anchor="Прил04_ФормыЗаявки" w:tgtFrame="#Прил04_ФормыЗаявки">
              <w:r>
                <w:rPr>
                  <w:rStyle w:val="Style5"/>
                  <w:rFonts w:eastAsia="Calibri"/>
                  <w:kern w:val="0"/>
                  <w:sz w:val="26"/>
                  <w:szCs w:val="22"/>
                  <w:lang w:val="ru-RU" w:eastAsia="en-US" w:bidi="ar-SA"/>
                </w:rPr>
                <w:t>Приложение № 4</w:t>
              </w:r>
            </w:hyperlink>
            <w:r>
              <w:rPr>
                <w:rFonts w:eastAsia="Calibri"/>
                <w:kern w:val="0"/>
                <w:sz w:val="26"/>
                <w:szCs w:val="22"/>
                <w:lang w:val="ru-RU" w:eastAsia="en-US" w:bidi="ar-SA"/>
              </w:rPr>
              <w:t>)</w:t>
            </w:r>
          </w:p>
          <w:p>
            <w:pPr>
              <w:pStyle w:val="Style21"/>
              <w:widowControl w:val="false"/>
              <w:spacing w:before="60" w:after="60"/>
              <w:rPr>
                <w:i/>
                <w:i/>
                <w:iCs/>
              </w:rPr>
            </w:pPr>
            <w:r>
              <w:rPr>
                <w:rFonts w:eastAsia="Calibri"/>
                <w:i/>
                <w:iCs/>
                <w:kern w:val="0"/>
                <w:sz w:val="26"/>
                <w:szCs w:val="22"/>
                <w:lang w:val="ru-RU" w:eastAsia="en-US" w:bidi="ar-SA"/>
              </w:rPr>
              <w:t>(пункт применяется только в случае установления режима запрета или ограничения закупки иностранной продукции, а также при исполнении Заказчиком норм в части минимальной обязательной доли закупок товаров российского происхождения (подраздел </w:t>
            </w:r>
            <w:r>
              <w:rPr>
                <w:rFonts w:eastAsia="Calibri"/>
                <w:i/>
                <w:iCs/>
                <w:kern w:val="0"/>
                <w:sz w:val="26"/>
                <w:szCs w:val="22"/>
                <w:lang w:val="ru-RU" w:eastAsia="en-US" w:bidi="ar-SA"/>
              </w:rPr>
              <w:fldChar w:fldCharType="begin"/>
            </w:r>
            <w:r>
              <w:rPr>
                <w:sz w:val="26"/>
                <w:i/>
                <w:kern w:val="0"/>
                <w:szCs w:val="22"/>
                <w:iCs/>
                <w:rFonts w:eastAsia="Calibri"/>
                <w:lang w:val="ru-RU" w:eastAsia="en-US" w:bidi="ar-SA"/>
              </w:rPr>
              <w:instrText xml:space="preserve"> REF _Ref186183588 \r \h </w:instrText>
            </w:r>
            <w:r>
              <w:rPr>
                <w:sz w:val="26"/>
                <w:i/>
                <w:kern w:val="0"/>
                <w:szCs w:val="22"/>
                <w:iCs/>
                <w:rFonts w:eastAsia="Calibri"/>
                <w:lang w:val="ru-RU" w:eastAsia="en-US" w:bidi="ar-SA"/>
              </w:rPr>
              <w:fldChar w:fldCharType="separate"/>
            </w:r>
            <w:r>
              <w:rPr>
                <w:sz w:val="26"/>
                <w:i/>
                <w:kern w:val="0"/>
                <w:szCs w:val="22"/>
                <w:iCs/>
                <w:rFonts w:eastAsia="Calibri"/>
                <w:lang w:val="ru-RU" w:eastAsia="en-US" w:bidi="ar-SA"/>
              </w:rPr>
              <w:t>4.17</w:t>
            </w:r>
            <w:r>
              <w:rPr>
                <w:sz w:val="26"/>
                <w:i/>
                <w:kern w:val="0"/>
                <w:szCs w:val="22"/>
                <w:iCs/>
                <w:rFonts w:eastAsia="Calibri"/>
                <w:lang w:val="ru-RU" w:eastAsia="en-US" w:bidi="ar-SA"/>
              </w:rPr>
              <w:fldChar w:fldCharType="end"/>
            </w:r>
            <w:r>
              <w:rPr>
                <w:rFonts w:eastAsia="Calibri"/>
                <w:i/>
                <w:iCs/>
                <w:kern w:val="0"/>
                <w:sz w:val="26"/>
                <w:szCs w:val="22"/>
                <w:lang w:val="ru-RU" w:eastAsia="en-US" w:bidi="ar-SA"/>
              </w:rPr>
              <w:t>))</w:t>
            </w:r>
          </w:p>
        </w:tc>
        <w:tc>
          <w:tcPr>
            <w:tcW w:w="3117"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подразделы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_Ref130281199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4.3</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_Ref186183588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4.17</w:t>
            </w:r>
            <w:r>
              <w:rPr>
                <w:sz w:val="26"/>
                <w:kern w:val="0"/>
                <w:szCs w:val="22"/>
                <w:rFonts w:eastAsia="Calibri"/>
                <w:lang w:val="ru-RU" w:eastAsia="en-US" w:bidi="ar-SA"/>
              </w:rPr>
              <w:fldChar w:fldCharType="end"/>
            </w:r>
          </w:p>
          <w:p>
            <w:pPr>
              <w:pStyle w:val="Style21"/>
              <w:widowControl w:val="false"/>
              <w:spacing w:before="60" w:after="60"/>
              <w:jc w:val="center"/>
              <w:rPr/>
            </w:pPr>
            <w:hyperlink w:anchor="Прил04_ФормыЗаявки" w:tgtFrame="#Прил04_ФормыЗаявки">
              <w:r>
                <w:rPr>
                  <w:rStyle w:val="Style5"/>
                  <w:rFonts w:eastAsia="Calibri"/>
                  <w:kern w:val="0"/>
                  <w:sz w:val="26"/>
                  <w:szCs w:val="22"/>
                  <w:lang w:val="ru-RU" w:eastAsia="en-US" w:bidi="ar-SA"/>
                </w:rPr>
                <w:t>Приложение № 4</w:t>
              </w:r>
            </w:hyperlink>
            <w:r>
              <w:rPr>
                <w:rFonts w:eastAsia="Calibri"/>
                <w:kern w:val="0"/>
                <w:sz w:val="26"/>
                <w:szCs w:val="22"/>
                <w:lang w:val="ru-RU" w:eastAsia="en-US" w:bidi="ar-SA"/>
              </w:rPr>
              <w:br/>
              <w:t>(форма Коммерческого предложения)</w:t>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r>
        <w:trPr/>
        <w:tc>
          <w:tcPr>
            <w:tcW w:w="1412" w:type="dxa"/>
            <w:tcBorders/>
          </w:tcPr>
          <w:p>
            <w:pPr>
              <w:pStyle w:val="Style21"/>
              <w:widowControl w:val="false"/>
              <w:numPr>
                <w:ilvl w:val="0"/>
                <w:numId w:val="13"/>
              </w:numPr>
              <w:spacing w:before="60" w:after="60"/>
              <w:ind w:left="170" w:hanging="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pPr>
            <w:r>
              <w:rPr>
                <w:rFonts w:eastAsia="Calibri"/>
                <w:kern w:val="0"/>
                <w:sz w:val="26"/>
                <w:szCs w:val="22"/>
                <w:lang w:val="ru-RU" w:eastAsia="en-US" w:bidi="ar-SA"/>
              </w:rPr>
              <w:t>Соответствие подтверждающей документации, прилагаемой к</w:t>
            </w:r>
            <w:r>
              <w:rPr>
                <w:rFonts w:eastAsia="Calibri"/>
                <w:kern w:val="0"/>
                <w:sz w:val="26"/>
                <w:szCs w:val="22"/>
                <w:lang w:val="en-US" w:eastAsia="en-US" w:bidi="ar-SA"/>
              </w:rPr>
              <w:t> </w:t>
            </w:r>
            <w:r>
              <w:rPr>
                <w:rFonts w:eastAsia="Calibri"/>
                <w:kern w:val="0"/>
                <w:sz w:val="26"/>
                <w:szCs w:val="22"/>
                <w:lang w:val="ru-RU" w:eastAsia="en-US" w:bidi="ar-SA"/>
              </w:rPr>
              <w:t>Коммерческому приложению (форма 3) (</w:t>
            </w:r>
            <w:hyperlink w:anchor="Прил04_ФормыЗаявки" w:tgtFrame="#Прил04_ФормыЗаявки">
              <w:r>
                <w:rPr>
                  <w:rStyle w:val="Style5"/>
                  <w:rFonts w:eastAsia="Calibri"/>
                  <w:kern w:val="0"/>
                  <w:sz w:val="26"/>
                  <w:szCs w:val="22"/>
                  <w:lang w:val="ru-RU" w:eastAsia="en-US" w:bidi="ar-SA"/>
                </w:rPr>
                <w:t>Приложение № 4</w:t>
              </w:r>
            </w:hyperlink>
            <w:r>
              <w:rPr>
                <w:rFonts w:eastAsia="Calibri"/>
                <w:kern w:val="0"/>
                <w:sz w:val="26"/>
                <w:szCs w:val="22"/>
                <w:lang w:val="ru-RU" w:eastAsia="en-US" w:bidi="ar-SA"/>
              </w:rPr>
              <w:t xml:space="preserve">) требованиям, указанным в </w:t>
            </w:r>
            <w:hyperlink w:anchor="Прил01_ТехТребования" w:tgtFrame="#Прил01_ТехТребования">
              <w:r>
                <w:rPr>
                  <w:rStyle w:val="Style5"/>
                  <w:rFonts w:eastAsia="Calibri"/>
                  <w:kern w:val="0"/>
                  <w:sz w:val="26"/>
                  <w:szCs w:val="22"/>
                  <w:lang w:val="ru-RU" w:eastAsia="en-US" w:bidi="ar-SA"/>
                </w:rPr>
                <w:t>Технических требованиях (Приложение № 1)</w:t>
              </w:r>
            </w:hyperlink>
          </w:p>
          <w:p>
            <w:pPr>
              <w:pStyle w:val="Style21"/>
              <w:widowControl w:val="false"/>
              <w:spacing w:before="60" w:after="60"/>
              <w:rPr/>
            </w:pPr>
            <w:r>
              <w:rPr>
                <w:rFonts w:eastAsia="Calibri"/>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tgtFrame="#Прил01_ТехТребования">
              <w:r>
                <w:rPr>
                  <w:rStyle w:val="Style5"/>
                  <w:rFonts w:eastAsia="Calibri"/>
                  <w:i/>
                  <w:iCs/>
                  <w:kern w:val="0"/>
                  <w:sz w:val="26"/>
                  <w:szCs w:val="22"/>
                  <w:lang w:val="ru-RU" w:eastAsia="en-US" w:bidi="ar-SA"/>
                </w:rPr>
                <w:t>Технических требованиях (Приложение № 1)</w:t>
              </w:r>
            </w:hyperlink>
            <w:r>
              <w:rPr>
                <w:rFonts w:eastAsia="Calibri"/>
                <w:i/>
                <w:iCs/>
                <w:kern w:val="0"/>
                <w:sz w:val="26"/>
                <w:szCs w:val="22"/>
                <w:lang w:val="ru-RU" w:eastAsia="en-US" w:bidi="ar-SA"/>
              </w:rPr>
              <w:t>)</w:t>
            </w:r>
          </w:p>
        </w:tc>
        <w:tc>
          <w:tcPr>
            <w:tcW w:w="3117" w:type="dxa"/>
            <w:tcBorders/>
          </w:tcPr>
          <w:p>
            <w:pPr>
              <w:pStyle w:val="Style21"/>
              <w:widowControl w:val="false"/>
              <w:spacing w:before="60" w:after="60"/>
              <w:jc w:val="center"/>
              <w:rPr/>
            </w:pPr>
            <w:hyperlink w:anchor="Прил01_ТехТребования" w:tgtFrame="#Прил01_ТехТребования">
              <w:r>
                <w:rPr>
                  <w:rStyle w:val="Style5"/>
                  <w:rFonts w:eastAsia="Calibri"/>
                  <w:kern w:val="0"/>
                  <w:sz w:val="26"/>
                  <w:szCs w:val="22"/>
                  <w:lang w:val="ru-RU" w:eastAsia="en-US" w:bidi="ar-SA"/>
                </w:rPr>
                <w:t>Приложение № 1</w:t>
              </w:r>
            </w:hyperlink>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Цена</w:t>
            </w:r>
          </w:p>
        </w:tc>
      </w:tr>
    </w:tbl>
    <w:p>
      <w:pPr>
        <w:pStyle w:val="Style16"/>
        <w:rPr>
          <w:rStyle w:val="Style2"/>
          <w:i w:val="false"/>
          <w:i w:val="false"/>
          <w:iCs w:val="false"/>
          <w:shd w:fill="auto" w:val="clear"/>
        </w:rPr>
      </w:pPr>
      <w:bookmarkStart w:id="399" w:name="_Ref195009395"/>
      <w:bookmarkStart w:id="400" w:name="_Toc228877259"/>
      <w:r>
        <w:rPr>
          <w:rStyle w:val="Style2"/>
          <w:i w:val="false"/>
          <w:iCs w:val="false"/>
          <w:shd w:fill="auto" w:val="clear"/>
        </w:rPr>
        <w:t>Дополнительные критерии проверки заявок на соответствие условиям Документации о закупке</w:t>
      </w:r>
      <w:bookmarkEnd w:id="399"/>
      <w:bookmarkEnd w:id="400"/>
    </w:p>
    <w:p>
      <w:pPr>
        <w:pStyle w:val="Style21"/>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1482"/>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tc>
          <w:tcPr>
            <w:tcW w:w="1412"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Номер</w:t>
              <w:br/>
              <w:t>критерия</w:t>
            </w:r>
          </w:p>
        </w:tc>
        <w:tc>
          <w:tcPr>
            <w:tcW w:w="8506"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Наименование</w:t>
              <w:br/>
              <w:t>отборочного критерия</w:t>
            </w:r>
          </w:p>
        </w:tc>
        <w:tc>
          <w:tcPr>
            <w:tcW w:w="3117"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Номер пункта</w:t>
              <w:br/>
              <w:t>Документации о закупке</w:t>
            </w:r>
          </w:p>
        </w:tc>
        <w:tc>
          <w:tcPr>
            <w:tcW w:w="2090" w:type="dxa"/>
            <w:tcBorders/>
          </w:tcPr>
          <w:p>
            <w:pPr>
              <w:pStyle w:val="Style21"/>
              <w:keepNext w:val="true"/>
              <w:keepLines w:val="false"/>
              <w:widowControl w:val="false"/>
              <w:spacing w:before="60" w:after="60"/>
              <w:jc w:val="center"/>
              <w:rPr>
                <w:rFonts w:ascii="Times New Roman" w:hAnsi="Times New Roman" w:eastAsia="Calibri"/>
                <w:b/>
                <w:sz w:val="26"/>
                <w:szCs w:val="22"/>
                <w:lang w:val="ru-RU" w:eastAsia="en-US" w:bidi="ar-SA"/>
              </w:rPr>
            </w:pPr>
            <w:r>
              <w:rPr>
                <w:rFonts w:eastAsia="Calibri"/>
                <w:b/>
                <w:kern w:val="0"/>
                <w:sz w:val="26"/>
                <w:szCs w:val="22"/>
                <w:lang w:val="ru-RU" w:eastAsia="en-US" w:bidi="ar-SA"/>
              </w:rPr>
              <w:t>Направления</w:t>
              <w:br/>
              <w:t>оценки заявок*</w:t>
            </w:r>
          </w:p>
        </w:tc>
      </w:tr>
      <w:tr>
        <w:trPr/>
        <w:tc>
          <w:tcPr>
            <w:tcW w:w="1412" w:type="dxa"/>
            <w:tcBorders/>
          </w:tcPr>
          <w:p>
            <w:pPr>
              <w:pStyle w:val="Style21"/>
              <w:widowControl w:val="false"/>
              <w:numPr>
                <w:ilvl w:val="0"/>
                <w:numId w:val="14"/>
              </w:numPr>
              <w:spacing w:before="60" w:after="60"/>
              <w:jc w:val="center"/>
              <w:rPr>
                <w:rFonts w:ascii="Times New Roman" w:hAnsi="Times New Roman" w:eastAsia="Calibri"/>
                <w:sz w:val="26"/>
                <w:szCs w:val="22"/>
                <w:lang w:val="ru-RU" w:eastAsia="en-US" w:bidi="ar-SA"/>
              </w:rPr>
            </w:pPr>
            <w:r>
              <w:rPr>
                <w:rFonts w:eastAsia="Calibri"/>
                <w:sz w:val="26"/>
                <w:szCs w:val="22"/>
                <w:lang w:val="ru-RU" w:eastAsia="en-US" w:bidi="ar-SA"/>
              </w:rPr>
            </w:r>
          </w:p>
        </w:tc>
        <w:tc>
          <w:tcPr>
            <w:tcW w:w="8506" w:type="dxa"/>
            <w:tcBorders/>
          </w:tcPr>
          <w:p>
            <w:pPr>
              <w:pStyle w:val="Style21"/>
              <w:widowControl w:val="false"/>
              <w:spacing w:before="60" w:after="60"/>
              <w:rPr>
                <w:rFonts w:ascii="Times New Roman" w:hAnsi="Times New Roman" w:eastAsia="Calibri"/>
                <w:sz w:val="26"/>
                <w:szCs w:val="22"/>
                <w:lang w:val="ru-RU" w:eastAsia="en-US" w:bidi="ar-SA"/>
              </w:rPr>
            </w:pPr>
            <w:r>
              <w:rPr>
                <w:rFonts w:eastAsia="Calibri"/>
                <w:kern w:val="0"/>
                <w:sz w:val="26"/>
                <w:szCs w:val="22"/>
                <w:lang w:val="ru-RU" w:eastAsia="en-US" w:bidi="ar-SA"/>
              </w:rPr>
              <w:t>Возможность применения преимущества, если в подразделе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_Ref125359973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1.2</w:t>
            </w:r>
            <w:r>
              <w:rPr>
                <w:sz w:val="26"/>
                <w:kern w:val="0"/>
                <w:szCs w:val="22"/>
                <w:rFonts w:eastAsia="Calibri"/>
                <w:lang w:val="ru-RU" w:eastAsia="en-US" w:bidi="ar-SA"/>
              </w:rPr>
              <w:fldChar w:fldCharType="end"/>
            </w:r>
            <w:r>
              <w:rPr>
                <w:rFonts w:eastAsia="Calibri"/>
                <w:kern w:val="0"/>
                <w:sz w:val="26"/>
                <w:szCs w:val="22"/>
                <w:lang w:val="ru-RU" w:eastAsia="en-US" w:bidi="ar-SA"/>
              </w:rPr>
              <w:t xml:space="preserve"> установлен режим преимущества российской продукции, в отношении заявки с российской продукцией (на поставку товара российского происхождения (в том числе поставляемого при выполнении работ, оказании услуг))</w:t>
            </w:r>
          </w:p>
          <w:p>
            <w:pPr>
              <w:pStyle w:val="Style21"/>
              <w:widowControl w:val="false"/>
              <w:spacing w:before="60" w:after="60"/>
              <w:rPr>
                <w:rFonts w:ascii="Times New Roman" w:hAnsi="Times New Roman" w:eastAsia="Calibri"/>
                <w:sz w:val="26"/>
                <w:szCs w:val="22"/>
                <w:lang w:val="ru-RU" w:eastAsia="en-US" w:bidi="ar-SA"/>
              </w:rPr>
            </w:pPr>
            <w:r>
              <w:rPr>
                <w:rFonts w:eastAsia="Calibri"/>
                <w:i/>
                <w:iCs/>
                <w:kern w:val="0"/>
                <w:sz w:val="26"/>
                <w:szCs w:val="22"/>
                <w:lang w:val="ru-RU" w:eastAsia="en-US" w:bidi="ar-SA"/>
              </w:rPr>
              <w:t xml:space="preserve">(пункт применяется только в случае установления режима преимущества российской продукции (подраздел </w:t>
            </w:r>
            <w:r>
              <w:rPr>
                <w:rFonts w:eastAsia="Calibri"/>
                <w:i/>
                <w:iCs/>
                <w:kern w:val="0"/>
                <w:sz w:val="26"/>
                <w:szCs w:val="22"/>
                <w:lang w:val="ru-RU" w:eastAsia="en-US" w:bidi="ar-SA"/>
              </w:rPr>
              <w:fldChar w:fldCharType="begin"/>
            </w:r>
            <w:r>
              <w:rPr>
                <w:sz w:val="26"/>
                <w:i/>
                <w:kern w:val="0"/>
                <w:szCs w:val="22"/>
                <w:iCs/>
                <w:rFonts w:eastAsia="Calibri"/>
                <w:lang w:val="ru-RU" w:eastAsia="en-US" w:bidi="ar-SA"/>
              </w:rPr>
              <w:instrText xml:space="preserve"> REF _Ref186183588 \r \h </w:instrText>
            </w:r>
            <w:r>
              <w:rPr>
                <w:sz w:val="26"/>
                <w:i/>
                <w:kern w:val="0"/>
                <w:szCs w:val="22"/>
                <w:iCs/>
                <w:rFonts w:eastAsia="Calibri"/>
                <w:lang w:val="ru-RU" w:eastAsia="en-US" w:bidi="ar-SA"/>
              </w:rPr>
              <w:fldChar w:fldCharType="separate"/>
            </w:r>
            <w:r>
              <w:rPr>
                <w:sz w:val="26"/>
                <w:i/>
                <w:kern w:val="0"/>
                <w:szCs w:val="22"/>
                <w:iCs/>
                <w:rFonts w:eastAsia="Calibri"/>
                <w:lang w:val="ru-RU" w:eastAsia="en-US" w:bidi="ar-SA"/>
              </w:rPr>
              <w:t>4.17</w:t>
            </w:r>
            <w:r>
              <w:rPr>
                <w:sz w:val="26"/>
                <w:i/>
                <w:kern w:val="0"/>
                <w:szCs w:val="22"/>
                <w:iCs/>
                <w:rFonts w:eastAsia="Calibri"/>
                <w:lang w:val="ru-RU" w:eastAsia="en-US" w:bidi="ar-SA"/>
              </w:rPr>
              <w:fldChar w:fldCharType="end"/>
            </w:r>
            <w:r>
              <w:rPr>
                <w:rFonts w:eastAsia="Calibri"/>
                <w:kern w:val="0"/>
                <w:sz w:val="26"/>
                <w:szCs w:val="22"/>
                <w:lang w:val="ru-RU" w:eastAsia="en-US" w:bidi="ar-SA"/>
              </w:rPr>
              <w:t>))</w:t>
            </w:r>
          </w:p>
        </w:tc>
        <w:tc>
          <w:tcPr>
            <w:tcW w:w="3117"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подраздел </w:t>
            </w:r>
            <w:r>
              <w:rPr>
                <w:rFonts w:eastAsia="Calibri"/>
                <w:kern w:val="0"/>
                <w:sz w:val="26"/>
                <w:szCs w:val="22"/>
                <w:lang w:val="ru-RU" w:eastAsia="en-US" w:bidi="ar-SA"/>
              </w:rPr>
              <w:fldChar w:fldCharType="begin"/>
            </w:r>
            <w:r>
              <w:rPr>
                <w:sz w:val="26"/>
                <w:kern w:val="0"/>
                <w:szCs w:val="22"/>
                <w:rFonts w:eastAsia="Calibri"/>
                <w:lang w:val="ru-RU" w:eastAsia="en-US" w:bidi="ar-SA"/>
              </w:rPr>
              <w:instrText xml:space="preserve"> REF _Ref186183588 \r \h </w:instrText>
            </w:r>
            <w:r>
              <w:rPr>
                <w:sz w:val="26"/>
                <w:kern w:val="0"/>
                <w:szCs w:val="22"/>
                <w:rFonts w:eastAsia="Calibri"/>
                <w:lang w:val="ru-RU" w:eastAsia="en-US" w:bidi="ar-SA"/>
              </w:rPr>
              <w:fldChar w:fldCharType="separate"/>
            </w:r>
            <w:r>
              <w:rPr>
                <w:sz w:val="26"/>
                <w:kern w:val="0"/>
                <w:szCs w:val="22"/>
                <w:rFonts w:eastAsia="Calibri"/>
                <w:lang w:val="ru-RU" w:eastAsia="en-US" w:bidi="ar-SA"/>
              </w:rPr>
              <w:t>4.17</w:t>
            </w:r>
            <w:r>
              <w:rPr>
                <w:sz w:val="26"/>
                <w:kern w:val="0"/>
                <w:szCs w:val="22"/>
                <w:rFonts w:eastAsia="Calibri"/>
                <w:lang w:val="ru-RU" w:eastAsia="en-US" w:bidi="ar-SA"/>
              </w:rPr>
              <w:fldChar w:fldCharType="end"/>
            </w:r>
          </w:p>
        </w:tc>
        <w:tc>
          <w:tcPr>
            <w:tcW w:w="2090" w:type="dxa"/>
            <w:tcBorders/>
          </w:tcPr>
          <w:p>
            <w:pPr>
              <w:pStyle w:val="Style21"/>
              <w:widowControl w:val="false"/>
              <w:spacing w:before="60" w:after="60"/>
              <w:jc w:val="center"/>
              <w:rPr>
                <w:rFonts w:ascii="Times New Roman" w:hAnsi="Times New Roman" w:eastAsia="Calibri"/>
                <w:sz w:val="26"/>
                <w:szCs w:val="22"/>
                <w:lang w:val="ru-RU" w:eastAsia="en-US" w:bidi="ar-SA"/>
              </w:rPr>
            </w:pPr>
            <w:r>
              <w:rPr>
                <w:rFonts w:eastAsia="Calibri"/>
                <w:kern w:val="0"/>
                <w:sz w:val="26"/>
                <w:szCs w:val="22"/>
                <w:lang w:val="ru-RU" w:eastAsia="en-US" w:bidi="ar-SA"/>
              </w:rPr>
              <w:t>Тех</w:t>
            </w:r>
          </w:p>
        </w:tc>
      </w:tr>
    </w:tbl>
    <w:p>
      <w:pPr>
        <w:pStyle w:val="Style21"/>
        <w:keepNext w:val="true"/>
        <w:tabs>
          <w:tab w:val="clear" w:pos="708"/>
          <w:tab w:val="left" w:pos="851" w:leader="none"/>
        </w:tabs>
        <w:spacing w:before="240" w:after="0"/>
        <w:rPr>
          <w:b/>
          <w:bCs/>
        </w:rPr>
      </w:pPr>
      <w:r>
        <w:rPr>
          <w:b/>
          <w:bCs/>
        </w:rPr>
        <w:t>* Направления оценки заявок:</w:t>
      </w:r>
    </w:p>
    <w:p>
      <w:pPr>
        <w:pStyle w:val="Style21"/>
        <w:tabs>
          <w:tab w:val="clear" w:pos="708"/>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(в том числе наличие сведений о ней в соответствующем реестре в ЕИС) – в случае отсутствия внесенных Участником денежных средств на специальный банковский счет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 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21"/>
        <w:tabs>
          <w:tab w:val="clear" w:pos="708"/>
          <w:tab w:val="left" w:pos="1134" w:leader="none"/>
        </w:tabs>
        <w:ind w:left="1701" w:hanging="1701"/>
        <w:rPr/>
      </w:pPr>
      <w:r>
        <w:rPr>
          <w:b/>
          <w:bCs/>
        </w:rPr>
        <w:t>Тех</w:t>
      </w:r>
      <w:r>
        <w:rPr/>
        <w:tab/>
        <w:t>–</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w:t>
      </w:r>
      <w:bookmarkStart w:id="401" w:name="_Hlk207815919"/>
      <w:r>
        <w:rPr/>
        <w:t>в целях применения законодательства о национальном режиме: а) при закупке товаров (в том числе поставляемых при выполнении работ, оказании услуг) – оценка сведений о стране происхождения предлагаемого к поставке товара; б) при закупке работ, услуг – оценка сведений о стране регистрации Участника (стране регистрации лица, согласно заявке выполняющего работу, оказывающего услугу)</w:t>
      </w:r>
      <w:bookmarkEnd w:id="401"/>
      <w:r>
        <w:rPr/>
        <w:t>;оценка Технических предложений и сведений, подтверждающих соответствия Участника специальным требованиям Документации о закупке;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p>
    <w:p>
      <w:pPr>
        <w:pStyle w:val="Style21"/>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1"/>
        <w:keepNext w:val="true"/>
        <w:tabs>
          <w:tab w:val="clear" w:pos="708"/>
          <w:tab w:val="left" w:pos="1134" w:leader="none"/>
        </w:tabs>
        <w:ind w:left="1701" w:hanging="1701"/>
        <w:rPr/>
      </w:pPr>
      <w:r>
        <w:rPr>
          <w:b/>
          <w:bCs/>
        </w:rPr>
        <w:t>Цена</w:t>
      </w:r>
      <w:r>
        <w:rPr/>
        <w:tab/>
        <w:t>–</w:t>
        <w:tab/>
      </w:r>
      <w:bookmarkStart w:id="402" w:name="_Hlk207816097"/>
      <w:r>
        <w:rP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языка и валюты заявки); проверка отсутствия противоречий в представленных в составе Коммерческого предложения (и приложениях к нему) документах; проверка соответствия подтверждающей документации (сметная документация и т.п.), прилагаемой к Коммерческому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 в том числе в части  </w:t>
      </w:r>
      <w:bookmarkEnd w:id="402"/>
      <w:r>
        <w:rPr/>
        <w:t>непревышения ценового предложения участника установленного размера НМЦ.</w:t>
      </w:r>
    </w:p>
    <w:p>
      <w:pPr>
        <w:pStyle w:val="Style21"/>
        <w:tabs>
          <w:tab w:val="clear" w:pos="708"/>
          <w:tab w:val="left" w:pos="1134" w:leader="none"/>
        </w:tabs>
        <w:ind w:left="1701" w:hanging="1701"/>
        <w:rPr/>
      </w:pPr>
      <w:r>
        <w:rPr>
          <w:b/>
          <w:bCs/>
        </w:rPr>
        <w:t>Фин</w:t>
      </w:r>
      <w:r>
        <w:rPr/>
        <w:tab/>
        <w:t>–</w:t>
        <w:tab/>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независимой гарантии)</w:t>
      </w:r>
      <w:r>
        <w:rPr/>
        <w:t>.</w:t>
      </w:r>
    </w:p>
    <w:p>
      <w:pPr>
        <w:sectPr>
          <w:headerReference w:type="default" r:id="rId29"/>
          <w:headerReference w:type="first" r:id="rId30"/>
          <w:footerReference w:type="default" r:id="rId31"/>
          <w:footerReference w:type="first" r:id="rId3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1"/>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15"/>
        <w:rPr/>
      </w:pPr>
      <w:bookmarkStart w:id="403" w:name="_Ref125361648"/>
      <w:bookmarkStart w:id="404" w:name="_Ref125361951"/>
      <w:bookmarkStart w:id="405" w:name="_Ref125366013"/>
      <w:bookmarkStart w:id="406" w:name="_Ref125366280"/>
      <w:bookmarkStart w:id="407" w:name="_Ref125366285"/>
      <w:bookmarkStart w:id="408" w:name="_Ref125368140"/>
      <w:bookmarkStart w:id="409" w:name="_Ref125368150"/>
      <w:bookmarkStart w:id="410" w:name="_Ref125368165"/>
      <w:bookmarkStart w:id="411" w:name="_Ref125368172"/>
      <w:bookmarkStart w:id="412" w:name="_Ref125368184"/>
      <w:bookmarkStart w:id="413" w:name="_Ref125368283"/>
      <w:bookmarkStart w:id="414" w:name="_Ref125368291"/>
      <w:bookmarkStart w:id="415" w:name="_Ref125368302"/>
      <w:bookmarkStart w:id="416" w:name="_Ref125368313"/>
      <w:bookmarkStart w:id="417" w:name="_Ref125368331"/>
      <w:bookmarkStart w:id="418" w:name="_Ref125369021"/>
      <w:bookmarkStart w:id="419" w:name="_Ref125369438"/>
      <w:bookmarkStart w:id="420" w:name="_Toc228877260"/>
      <w:bookmarkStart w:id="421" w:name="Прил08_ПорядокОценки"/>
      <w:bookmarkEnd w:id="421"/>
      <w:r>
        <w:rPr/>
        <w:t>Приложение № 8 – Порядок и критерии оценки и сопоставления заявок</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pPr>
        <w:pStyle w:val="Style16"/>
        <w:rPr/>
      </w:pPr>
      <w:bookmarkStart w:id="422" w:name="_Toc228877261"/>
      <w:r>
        <w:rPr/>
        <w:t>Порядок и критерии оценки и сопоставления заявок</w:t>
      </w:r>
      <w:bookmarkEnd w:id="422"/>
    </w:p>
    <w:p>
      <w:pPr>
        <w:pStyle w:val="Style17"/>
        <w:rPr/>
      </w:pPr>
      <w:r>
        <w:rPr/>
        <w:t>Оценка и сопоставление заявок, признанных Закупочной комиссией соответствующими по результатам рассмотрения заявок, осуществляется по единственному ценовому критерию – стоимость заявки (цена Договора) в едином базисе без учета НДС, с последующей ранжировкой заявок по мере повышения стоимости заявки (цены Договора). При этом первое место в ранжировке присваивается заявке с наименьшей ценой (расчетной ценой)</w:t>
      </w:r>
      <w:r>
        <w:rPr>
          <w:rStyle w:val="FootnoteReference"/>
        </w:rPr>
        <w:footnoteReference w:id="14"/>
      </w:r>
      <w:r>
        <w:rPr/>
        <w:t>.</w:t>
      </w:r>
    </w:p>
    <w:p>
      <w:pPr>
        <w:pStyle w:val="Style17"/>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_Ref186183588 \r \h </w:instrText>
      </w:r>
      <w:r>
        <w:rPr/>
        <w:fldChar w:fldCharType="separate"/>
      </w:r>
      <w:r>
        <w:rPr/>
        <w:t>4.17</w:t>
      </w:r>
      <w:r>
        <w:rPr/>
        <w:fldChar w:fldCharType="end"/>
      </w:r>
      <w:r>
        <w:rPr/>
        <w:t>.</w:t>
      </w:r>
    </w:p>
    <w:p>
      <w:pPr>
        <w:sectPr>
          <w:headerReference w:type="default" r:id="rId33"/>
          <w:headerReference w:type="first" r:id="rId34"/>
          <w:footerReference w:type="default" r:id="rId35"/>
          <w:footerReference w:type="first" r:id="rId36"/>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17"/>
        <w:rPr/>
      </w:pPr>
      <w:r>
        <w:rPr/>
        <w:t>В установленных случаях оценка и сопоставление заявок производится с учетом предоставления преференции продукции, изготовленной с использованием российского алюминия и (или) алюминиевых полуфабрикатов, в порядке, предусмотренном подразделом </w:t>
      </w:r>
      <w:r>
        <w:rPr/>
        <w:fldChar w:fldCharType="begin"/>
      </w:r>
      <w:r>
        <w:rPr/>
        <w:instrText xml:space="preserve"> REF _Ref125640994 \r \h </w:instrText>
      </w:r>
      <w:r>
        <w:rPr/>
        <w:fldChar w:fldCharType="separate"/>
      </w:r>
      <w:r>
        <w:rPr/>
        <w:t>4.18</w:t>
      </w:r>
      <w:r>
        <w:rPr/>
        <w:fldChar w:fldCharType="end"/>
      </w:r>
      <w:r>
        <w:rPr/>
        <w:t>.</w:t>
      </w:r>
    </w:p>
    <w:p>
      <w:pPr>
        <w:pStyle w:val="Style15"/>
        <w:rPr/>
      </w:pPr>
      <w:bookmarkStart w:id="423" w:name="_Ref125360420"/>
      <w:bookmarkStart w:id="424" w:name="_Toc228877262"/>
      <w:bookmarkStart w:id="425" w:name="Прил09_ОбоснованиеНМЦ"/>
      <w:bookmarkEnd w:id="425"/>
      <w:r>
        <w:rPr/>
        <w:t>Приложение № 9 – Обоснование НМЦ</w:t>
      </w:r>
      <w:bookmarkEnd w:id="423"/>
      <w:bookmarkEnd w:id="424"/>
    </w:p>
    <w:p>
      <w:pPr>
        <w:pStyle w:val="Style16"/>
        <w:rPr/>
      </w:pPr>
      <w:bookmarkStart w:id="426" w:name="_Toc228877263"/>
      <w:r>
        <w:rPr/>
        <w:t>Пояснения к Обоснованию НМЦ</w:t>
      </w:r>
      <w:bookmarkEnd w:id="426"/>
    </w:p>
    <w:p>
      <w:pPr>
        <w:pStyle w:val="Style17"/>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15"/>
        <w:rPr/>
      </w:pPr>
      <w:bookmarkStart w:id="427" w:name="_Toc228877264"/>
      <w:bookmarkStart w:id="428" w:name="Прил10_ФормаЗаявкиНаАккредитацию"/>
      <w:bookmarkEnd w:id="428"/>
      <w:r>
        <w:rPr/>
        <w:t>Приложение № 10 – Форма Заявки на аккредитацию</w:t>
      </w:r>
      <w:bookmarkEnd w:id="427"/>
    </w:p>
    <w:p>
      <w:pPr>
        <w:pStyle w:val="Style16"/>
        <w:rPr/>
      </w:pPr>
      <w:bookmarkStart w:id="429" w:name="_Toc228877265"/>
      <w:r>
        <w:rPr/>
        <w:t>Пояснения к форме Заявки на аккредитацию</w:t>
      </w:r>
      <w:bookmarkEnd w:id="429"/>
    </w:p>
    <w:p>
      <w:pPr>
        <w:pStyle w:val="Style17"/>
        <w:rPr/>
      </w:pPr>
      <w:r>
        <w:rPr/>
        <w:t xml:space="preserve">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 </w:t>
      </w:r>
    </w:p>
    <w:p>
      <w:pPr>
        <w:pStyle w:val="Style17"/>
        <w:rPr/>
      </w:pPr>
      <w:r>
        <w:rPr/>
        <w:t xml:space="preserve">Заявка на аккредитацию предоставляется (в установленных Документацией о закупке случаях) Участником в составе своей заявки </w:t>
      </w:r>
      <w:bookmarkStart w:id="430" w:name="_Hlk207300788"/>
      <w:r>
        <w:rPr/>
        <w:t xml:space="preserve">только в электронном виде в формате </w:t>
      </w:r>
      <w:r>
        <w:rPr>
          <w:lang w:val="en-US"/>
        </w:rPr>
        <w:t>Microsoft</w:t>
      </w:r>
      <w:r>
        <w:rPr/>
        <w:t xml:space="preserve"> </w:t>
      </w:r>
      <w:r>
        <w:rPr>
          <w:lang w:val="en-US"/>
        </w:rPr>
        <w:t>Excel</w:t>
      </w:r>
      <w:r>
        <w:rPr/>
        <w:t xml:space="preserve"> (*.</w:t>
      </w:r>
      <w:r>
        <w:rPr>
          <w:lang w:val="en-US"/>
        </w:rPr>
        <w:t>xlsx</w:t>
      </w:r>
      <w:r>
        <w:rPr/>
        <w:t>))</w:t>
      </w:r>
      <w:bookmarkEnd w:id="430"/>
      <w:r>
        <w:rPr/>
        <w:t>.</w:t>
      </w:r>
    </w:p>
    <w:p>
      <w:pPr>
        <w:pStyle w:val="Style21"/>
        <w:jc w:val="center"/>
        <w:rPr/>
      </w:pPr>
      <w:r>
        <w:rPr/>
        <w:drawing>
          <wp:inline distT="0" distB="0" distL="0" distR="0">
            <wp:extent cx="955040" cy="657860"/>
            <wp:effectExtent l="0" t="0" r="0" b="0"/>
            <wp:docPr id="5" name="_x005F_x0000_i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_x005F_x0000_i3" descr=""/>
                    <pic:cNvPicPr>
                      <a:picLocks noChangeAspect="1" noChangeArrowheads="1"/>
                    </pic:cNvPicPr>
                  </pic:nvPicPr>
                  <pic:blipFill>
                    <a:blip r:embed="rId37"/>
                    <a:stretch>
                      <a:fillRect/>
                    </a:stretch>
                  </pic:blipFill>
                  <pic:spPr bwMode="auto">
                    <a:xfrm>
                      <a:off x="0" y="0"/>
                      <a:ext cx="955040" cy="657860"/>
                    </a:xfrm>
                    <a:prstGeom prst="rect">
                      <a:avLst/>
                    </a:prstGeom>
                  </pic:spPr>
                </pic:pic>
              </a:graphicData>
            </a:graphic>
          </wp:inline>
        </w:drawing>
      </w:r>
    </w:p>
    <w:p>
      <w:pPr>
        <w:pStyle w:val="Normal"/>
        <w:rPr/>
      </w:pPr>
      <w:r>
        <w:rPr/>
      </w:r>
    </w:p>
    <w:p>
      <w:pPr>
        <w:pStyle w:val="Style15"/>
        <w:rPr/>
      </w:pPr>
      <w:bookmarkStart w:id="431" w:name="_Toc228877266"/>
      <w:bookmarkStart w:id="432" w:name="Прил11_Данные_бухотчетность"/>
      <w:r>
        <w:rPr/>
        <w:t xml:space="preserve">Приложение № 11 </w:t>
      </w:r>
      <w:bookmarkEnd w:id="432"/>
      <w:r>
        <w:rPr/>
        <w:t>– форма Данных бухгалтерской (финансовой) отчетности</w:t>
      </w:r>
      <w:bookmarkEnd w:id="431"/>
    </w:p>
    <w:p>
      <w:pPr>
        <w:pStyle w:val="Style16"/>
        <w:rPr/>
      </w:pPr>
      <w:bookmarkStart w:id="433" w:name="_Toc228877267"/>
      <w:r>
        <w:rPr/>
        <w:t>Пояснения к форме Данных бухгалтерской (финансовой) отчетности</w:t>
      </w:r>
      <w:bookmarkEnd w:id="433"/>
      <w:r>
        <w:rPr/>
        <w:t xml:space="preserve"> </w:t>
      </w:r>
    </w:p>
    <w:p>
      <w:pPr>
        <w:pStyle w:val="Style17"/>
        <w:rPr/>
      </w:pPr>
      <w:r>
        <w:rPr/>
        <w:t>Форма Данных бухгалтерской (финансовой) отчетности приведена в отдельном файле (предоставляется отдельным документом в составе Документации о закупке), являющимся Приложением № 11 к Документации о закупке.</w:t>
      </w:r>
    </w:p>
    <w:p>
      <w:pPr>
        <w:pStyle w:val="Normal"/>
        <w:rPr/>
      </w:pPr>
      <w:r>
        <w:rPr/>
      </w:r>
      <w:bookmarkStart w:id="434" w:name="_MON_1821256687"/>
      <w:bookmarkStart w:id="435" w:name="_MON_1821256687"/>
      <w:bookmarkEnd w:id="435"/>
    </w:p>
    <w:p>
      <w:pPr>
        <w:pStyle w:val="Normal"/>
        <w:jc w:val="center"/>
        <w:rPr/>
      </w:pPr>
      <w:bookmarkStart w:id="436" w:name="_Hlk210644436"/>
      <w:bookmarkStart w:id="437" w:name="_MON_1821256687_Копия_1"/>
      <w:bookmarkEnd w:id="437"/>
      <w:r>
        <w:rPr/>
        <w:drawing>
          <wp:inline distT="0" distB="0" distL="0" distR="0">
            <wp:extent cx="978535" cy="629285"/>
            <wp:effectExtent l="0" t="0" r="0" b="0"/>
            <wp:docPr id="6" name="_x005F_x0000_i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_x005F_x0000_i4" descr=""/>
                    <pic:cNvPicPr>
                      <a:picLocks noChangeAspect="1" noChangeArrowheads="1"/>
                    </pic:cNvPicPr>
                  </pic:nvPicPr>
                  <pic:blipFill>
                    <a:blip r:embed="rId38"/>
                    <a:stretch>
                      <a:fillRect/>
                    </a:stretch>
                  </pic:blipFill>
                  <pic:spPr bwMode="auto">
                    <a:xfrm>
                      <a:off x="0" y="0"/>
                      <a:ext cx="978535" cy="629285"/>
                    </a:xfrm>
                    <a:prstGeom prst="rect">
                      <a:avLst/>
                    </a:prstGeom>
                  </pic:spPr>
                </pic:pic>
              </a:graphicData>
            </a:graphic>
          </wp:inline>
        </w:drawing>
      </w:r>
      <w:bookmarkEnd w:id="436"/>
    </w:p>
    <w:p>
      <w:pPr>
        <w:pStyle w:val="Normal"/>
        <w:jc w:val="center"/>
        <w:rPr/>
      </w:pPr>
      <w:r>
        <w:rPr/>
      </w:r>
    </w:p>
    <w:sectPr>
      <w:headerReference w:type="default" r:id="rId39"/>
      <w:headerReference w:type="first" r:id="rId40"/>
      <w:footerReference w:type="default" r:id="rId41"/>
      <w:footerReference w:type="first" r:id="rId42"/>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rPr/>
    </w:pPr>
    <w:r>
      <w:rPr/>
      <w:fldChar w:fldCharType="begin"/>
    </w:r>
    <w:r>
      <w:rPr/>
      <w:instrText xml:space="preserve"> PAGE </w:instrText>
    </w:r>
    <w:r>
      <w:rPr/>
      <w:fldChar w:fldCharType="separate"/>
    </w:r>
    <w:r>
      <w:rPr/>
      <w:t>2</w:t>
    </w:r>
    <w:r>
      <w:rPr/>
      <w:fldChar w:fldCharType="end"/>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rPr/>
    </w:pPr>
    <w:r>
      <w:rPr/>
      <w:fldChar w:fldCharType="begin"/>
    </w:r>
    <w:r>
      <w:rPr/>
      <w:instrText xml:space="preserve"> PAGE </w:instrText>
    </w:r>
    <w:r>
      <w:rPr/>
      <w:fldChar w:fldCharType="separate"/>
    </w:r>
    <w:r>
      <w:rPr/>
      <w:t>73</w:t>
    </w:r>
    <w:r>
      <w:rPr/>
      <w:fldChar w:fldCharType="end"/>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rPr/>
    </w:pPr>
    <w:r>
      <w:rPr/>
      <w:fldChar w:fldCharType="begin"/>
    </w:r>
    <w:r>
      <w:rPr/>
      <w:instrText xml:space="preserve"> PAGE </w:instrText>
    </w:r>
    <w:r>
      <w:rPr/>
      <w:fldChar w:fldCharType="separate"/>
    </w:r>
    <w:r>
      <w:rPr/>
      <w:t>74</w:t>
    </w:r>
    <w:r>
      <w:rPr/>
      <w:fldChar w:fldCharType="end"/>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rPr/>
    </w:pPr>
    <w:r>
      <w:rPr/>
      <w:fldChar w:fldCharType="begin"/>
    </w:r>
    <w:r>
      <w:rPr/>
      <w:instrText xml:space="preserve"> PAGE </w:instrText>
    </w:r>
    <w:r>
      <w:rPr/>
      <w:fldChar w:fldCharType="separate"/>
    </w:r>
    <w:r>
      <w:rPr/>
      <w:t>77</w:t>
    </w:r>
    <w:r>
      <w:rPr/>
      <w:fldChar w:fldCharType="end"/>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rPr/>
    </w:pPr>
    <w:r>
      <w:rPr/>
      <w:fldChar w:fldCharType="begin"/>
    </w:r>
    <w:r>
      <w:rPr/>
      <w:instrText xml:space="preserve"> PAGE </w:instrText>
    </w:r>
    <w:r>
      <w:rPr/>
      <w:fldChar w:fldCharType="separate"/>
    </w:r>
    <w:r>
      <w:rPr/>
      <w:t>24</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rPr/>
    </w:pPr>
    <w:r>
      <w:rPr/>
      <w:fldChar w:fldCharType="begin"/>
    </w:r>
    <w:r>
      <w:rPr/>
      <w:instrText xml:space="preserve"> PAGE </w:instrText>
    </w:r>
    <w:r>
      <w:rPr/>
      <w:fldChar w:fldCharType="separate"/>
    </w:r>
    <w:r>
      <w:rPr/>
      <w:t>55</w:t>
    </w:r>
    <w:r>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rPr/>
    </w:pPr>
    <w:r>
      <w:rPr/>
      <w:fldChar w:fldCharType="begin"/>
    </w:r>
    <w:r>
      <w:rPr/>
      <w:instrText xml:space="preserve"> PAGE </w:instrText>
    </w:r>
    <w:r>
      <w:rPr/>
      <w:fldChar w:fldCharType="separate"/>
    </w:r>
    <w:r>
      <w:rPr/>
      <w:t>60</w:t>
    </w:r>
    <w:r>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0"/>
      <w:rPr/>
    </w:pPr>
    <w:r>
      <w:rPr/>
      <w:fldChar w:fldCharType="begin"/>
    </w:r>
    <w:r>
      <w:rPr/>
      <w:instrText xml:space="preserve"> PAGE </w:instrText>
    </w:r>
    <w:r>
      <w:rPr/>
      <w:fldChar w:fldCharType="separate"/>
    </w:r>
    <w:r>
      <w:rPr/>
      <w:t>65</w:t>
    </w:r>
    <w:r>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3"/>
        <w:spacing w:before="80" w:after="0"/>
        <w:ind w:left="567" w:hanging="567"/>
        <w:jc w:val="both"/>
        <w:rPr/>
      </w:pPr>
      <w:r>
        <w:rPr>
          <w:rStyle w:val="Style4"/>
        </w:rPr>
        <w:footnoteRef/>
      </w:r>
      <w:r>
        <w:rPr/>
        <w:tab/>
        <w:t>Если при проведении аукциона цена была снижена до нуля, далее аукцион проводился на повышение стоимости заявки (цены Договора).</w:t>
      </w:r>
    </w:p>
  </w:footnote>
  <w:footnote w:id="3">
    <w:p>
      <w:pPr>
        <w:pStyle w:val="Style23"/>
        <w:spacing w:before="80" w:after="0"/>
        <w:ind w:left="567" w:hanging="567"/>
        <w:jc w:val="both"/>
        <w:rPr/>
      </w:pPr>
      <w:r>
        <w:rPr>
          <w:rStyle w:val="Style4"/>
        </w:rPr>
        <w:footnoteRef/>
      </w:r>
      <w:r>
        <w:rPr/>
        <w:tab/>
        <w:t>Определенные в соответствии с Законом 422-ФЗ.</w:t>
      </w:r>
    </w:p>
  </w:footnote>
  <w:footnote w:id="4">
    <w:p>
      <w:pPr>
        <w:pStyle w:val="Style23"/>
        <w:spacing w:before="80" w:after="0"/>
        <w:ind w:left="567" w:hanging="567"/>
        <w:jc w:val="both"/>
        <w:rPr/>
      </w:pPr>
      <w:r>
        <w:rPr>
          <w:rStyle w:val="Style4"/>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4.16</w:t>
      </w:r>
      <w:r>
        <w:rPr/>
        <w:fldChar w:fldCharType="end"/>
      </w:r>
      <w:r>
        <w:rPr/>
        <w:t>), не допускается.</w:t>
      </w:r>
    </w:p>
  </w:footnote>
  <w:footnote w:id="5">
    <w:p>
      <w:pPr>
        <w:pStyle w:val="Style23"/>
        <w:spacing w:before="80" w:after="0"/>
        <w:ind w:left="567" w:hanging="567"/>
        <w:jc w:val="both"/>
        <w:rPr/>
      </w:pPr>
      <w:r>
        <w:rPr>
          <w:rStyle w:val="Style4"/>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6">
    <w:p>
      <w:pPr>
        <w:pStyle w:val="Style23"/>
        <w:spacing w:before="80" w:after="0"/>
        <w:ind w:left="567" w:hanging="567"/>
        <w:jc w:val="both"/>
        <w:rPr/>
      </w:pPr>
      <w:r>
        <w:rPr>
          <w:rStyle w:val="Style4"/>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w:t>
      </w:r>
    </w:p>
  </w:footnote>
  <w:footnote w:id="7">
    <w:p>
      <w:pPr>
        <w:pStyle w:val="FootnoteText"/>
        <w:ind w:left="567" w:hanging="567"/>
        <w:jc w:val="both"/>
        <w:rPr>
          <w:sz w:val="22"/>
        </w:rPr>
      </w:pPr>
      <w:r>
        <w:rPr>
          <w:rStyle w:val="Style4"/>
        </w:rPr>
        <w:footnoteRef/>
      </w:r>
      <w:r>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8">
    <w:p>
      <w:pPr>
        <w:pStyle w:val="Style23"/>
        <w:spacing w:before="80" w:after="0"/>
        <w:ind w:left="567" w:hanging="567"/>
        <w:jc w:val="both"/>
        <w:rPr/>
      </w:pPr>
      <w:r>
        <w:rPr>
          <w:rStyle w:val="Style4"/>
        </w:rPr>
        <w:footnoteRef/>
      </w:r>
      <w:bookmarkStart w:id="438" w:name="_Hlk149652703_Копия_1_Копия_1_Копия_1_Ко"/>
      <w:r>
        <w:rPr/>
        <w:tab/>
        <w:t>Если при проведении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bookmarkEnd w:id="438"/>
    </w:p>
  </w:footnote>
  <w:footnote w:id="9">
    <w:p>
      <w:pPr>
        <w:pStyle w:val="Style23"/>
        <w:spacing w:before="80" w:after="0"/>
        <w:ind w:left="567" w:hanging="567"/>
        <w:jc w:val="both"/>
        <w:rPr/>
      </w:pPr>
      <w:r>
        <w:rPr>
          <w:rStyle w:val="Style4"/>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23"/>
        <w:spacing w:before="80" w:after="0"/>
        <w:ind w:left="567" w:hanging="567"/>
        <w:jc w:val="both"/>
        <w:rPr/>
      </w:pPr>
      <w:r>
        <w:rPr>
          <w:rStyle w:val="Style4"/>
        </w:rPr>
        <w:footnoteRef/>
      </w:r>
      <w:r>
        <w:rPr/>
        <w:tab/>
        <w:t>По решению Организатора (в соответствии с Положением о закупке) в протоколе могут не отражаться сведения, позволяющие идентифицировать Участников и Победителя.</w:t>
      </w:r>
    </w:p>
  </w:footnote>
  <w:footnote w:id="11">
    <w:p>
      <w:pPr>
        <w:pStyle w:val="Style23"/>
        <w:spacing w:before="80" w:after="0"/>
        <w:ind w:left="567" w:hanging="567"/>
        <w:jc w:val="both"/>
        <w:rPr/>
      </w:pPr>
      <w:r>
        <w:rPr>
          <w:rStyle w:val="Style4"/>
        </w:rPr>
        <w:footnoteRef/>
      </w:r>
      <w:r>
        <w:rPr/>
        <w:tab/>
        <w:t>https://minfin.gov.ru/ru/perfomance/tax_relations/policy/bankwarranty/</w:t>
      </w:r>
    </w:p>
  </w:footnote>
  <w:footnote w:id="12">
    <w:p>
      <w:pPr>
        <w:pStyle w:val="Style23"/>
        <w:spacing w:before="80" w:after="0"/>
        <w:ind w:left="567" w:hanging="567"/>
        <w:jc w:val="both"/>
        <w:rPr/>
      </w:pPr>
      <w:r>
        <w:rPr>
          <w:rStyle w:val="Style4"/>
        </w:rPr>
        <w:footnoteRef/>
      </w:r>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13">
    <w:p>
      <w:pPr>
        <w:pStyle w:val="Style23"/>
        <w:spacing w:before="80" w:after="0"/>
        <w:ind w:left="567" w:hanging="567"/>
        <w:jc w:val="both"/>
        <w:rPr/>
      </w:pPr>
      <w:r>
        <w:rPr>
          <w:rStyle w:val="Style4"/>
        </w:rPr>
        <w:footnoteRef/>
      </w:r>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_Ref138341423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footnote>
  <w:footnote w:id="14">
    <w:p>
      <w:pPr>
        <w:pStyle w:val="Style23"/>
        <w:spacing w:before="80" w:after="0"/>
        <w:ind w:left="567" w:hanging="567"/>
        <w:jc w:val="both"/>
        <w:rPr/>
      </w:pPr>
      <w:r>
        <w:rPr>
          <w:rStyle w:val="Style4"/>
        </w:rPr>
        <w:footnoteRef/>
      </w:r>
      <w:r>
        <w:rPr/>
        <w:tab/>
        <w:t>Если при проведении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15"/>
      <w:numFmt w:val="decimal"/>
      <w:lvlText w:val="%1."/>
      <w:lvlJc w:val="left"/>
      <w:pPr>
        <w:tabs>
          <w:tab w:val="num" w:pos="1134"/>
        </w:tabs>
        <w:ind w:left="1134" w:hanging="1134"/>
      </w:pPr>
      <w:rPr/>
    </w:lvl>
    <w:lvl w:ilvl="1">
      <w:start w:val="1"/>
      <w:pStyle w:val="Style16"/>
      <w:numFmt w:val="decimal"/>
      <w:lvlText w:val="%1.%2"/>
      <w:lvlJc w:val="left"/>
      <w:pPr>
        <w:tabs>
          <w:tab w:val="num" w:pos="1134"/>
        </w:tabs>
        <w:ind w:left="1134" w:hanging="1134"/>
      </w:pPr>
      <w:rPr/>
    </w:lvl>
    <w:lvl w:ilvl="2">
      <w:start w:val="1"/>
      <w:pStyle w:val="Style17"/>
      <w:numFmt w:val="decimal"/>
      <w:lvlText w:val="%1.%2.%3"/>
      <w:lvlJc w:val="left"/>
      <w:pPr>
        <w:tabs>
          <w:tab w:val="num" w:pos="1134"/>
        </w:tabs>
        <w:ind w:left="1134" w:hanging="1134"/>
      </w:pPr>
      <w:rPr/>
    </w:lvl>
    <w:lvl w:ilvl="3">
      <w:start w:val="1"/>
      <w:pStyle w:val="Style18"/>
      <w:numFmt w:val="russianLower"/>
      <w:lvlText w:val="%4)"/>
      <w:lvlJc w:val="left"/>
      <w:pPr>
        <w:tabs>
          <w:tab w:val="num" w:pos="1701"/>
        </w:tabs>
        <w:ind w:left="1701" w:hanging="567"/>
      </w:pPr>
      <w:rPr/>
    </w:lvl>
    <w:lvl w:ilvl="4">
      <w:start w:val="1"/>
      <w:pStyle w:val="Style19"/>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decimal"/>
      <w:lvlText w:val="%1."/>
      <w:lvlJc w:val="left"/>
      <w:pPr>
        <w:tabs>
          <w:tab w:val="num" w:pos="1134"/>
        </w:tabs>
        <w:ind w:left="1134" w:hanging="1134"/>
      </w:pPr>
      <w:rPr/>
    </w:lvl>
    <w:lvl w:ilvl="1">
      <w:start w:val="1"/>
      <w:numFmt w:val="decimal"/>
      <w:lvlText w:val="%1.%2"/>
      <w:lvlJc w:val="left"/>
      <w:pPr>
        <w:tabs>
          <w:tab w:val="num" w:pos="2694"/>
        </w:tabs>
        <w:ind w:left="2694" w:hanging="1134"/>
      </w:pPr>
      <w:rPr>
        <w:sz w:val="28"/>
        <w:i w:val="false"/>
        <w:b/>
        <w:szCs w:val="28"/>
      </w:rPr>
    </w:lvl>
    <w:lvl w:ilvl="2">
      <w:start w:val="1"/>
      <w:numFmt w:val="decimal"/>
      <w:lvlText w:val="%1.%2.%3"/>
      <w:lvlJc w:val="left"/>
      <w:pPr>
        <w:tabs>
          <w:tab w:val="num" w:pos="1134"/>
        </w:tabs>
        <w:ind w:left="1134" w:hanging="1134"/>
      </w:pPr>
      <w:rPr>
        <w:sz w:val="26"/>
        <w:i w:val="false"/>
        <w:b w:val="false"/>
        <w:szCs w:val="26"/>
      </w:rPr>
    </w:lvl>
    <w:lvl w:ilvl="3">
      <w:start w:val="1"/>
      <w:numFmt w:val="decimal"/>
      <w:lvlText w:val="%1.%2.%3.%4"/>
      <w:lvlJc w:val="left"/>
      <w:pPr>
        <w:tabs>
          <w:tab w:val="num" w:pos="1134"/>
        </w:tabs>
        <w:ind w:left="1134" w:hanging="1134"/>
      </w:pPr>
      <w:rPr>
        <w:sz w:val="26"/>
        <w:i w:val="false"/>
        <w:b w:val="false"/>
        <w:szCs w:val="26"/>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decimal"/>
      <w:lvlText w:val="%1."/>
      <w:lvlJc w:val="left"/>
      <w:pPr>
        <w:tabs>
          <w:tab w:val="num" w:pos="851"/>
        </w:tabs>
        <w:ind w:left="0" w:hanging="0"/>
      </w:pPr>
      <w:rPr/>
    </w:lvl>
    <w:lvl w:ilvl="1">
      <w:start w:val="1"/>
      <w:numFmt w:val="decimal"/>
      <w:lvlText w:val="%1.%2."/>
      <w:lvlJc w:val="left"/>
      <w:pPr>
        <w:tabs>
          <w:tab w:val="num" w:pos="0"/>
        </w:tabs>
        <w:ind w:left="1418" w:hanging="1418"/>
      </w:pPr>
      <w:rPr>
        <w:smallCaps w:val="false"/>
        <w:caps w:val="false"/>
        <w:dstrike w:val="false"/>
        <w:strike w:val="false"/>
        <w:vertAlign w:val="baseline"/>
        <w:position w:val="0"/>
        <w:sz w:val="28"/>
        <w:sz w:val="28"/>
        <w:spacing w:val="0"/>
        <w:i w:val="false"/>
        <w:u w:val="none"/>
        <w:b/>
        <w:szCs w:val="28"/>
        <w:iCs w:val="false"/>
        <w:bCs/>
        <w:vanish w:val="false"/>
        <w:rFonts w:ascii="Times New Roman" w:hAnsi="Times New Roman" w:cs="Times New Roman"/>
        <w:color w:val="000000"/>
        <w14:textOutline w14:w="0" w14:cap="rnd" w14:cmpd="sng" w14:algn="ctr">
          <w14:noFill/>
          <w14:prstDash w14:val="solid"/>
          <w14:bevel/>
        </w14:textOutline>
      </w:rPr>
    </w:lvl>
    <w:lvl w:ilvl="2">
      <w:start w:val="1"/>
      <w:numFmt w:val="decimal"/>
      <w:lvlText w:val="%1.%2.%3."/>
      <w:lvlJc w:val="left"/>
      <w:pPr>
        <w:tabs>
          <w:tab w:val="num" w:pos="1701"/>
        </w:tabs>
        <w:ind w:left="1418" w:hanging="1418"/>
      </w:pPr>
      <w:rPr>
        <w:sz w:val="28"/>
        <w:b w:val="false"/>
        <w:szCs w:val="28"/>
        <w:bCs/>
      </w:rPr>
    </w:lvl>
    <w:lvl w:ilvl="3">
      <w:start w:val="1"/>
      <w:numFmt w:val="decimal"/>
      <w:lvlText w:val="%1.%2.%3.%4."/>
      <w:lvlJc w:val="left"/>
      <w:pPr>
        <w:tabs>
          <w:tab w:val="num" w:pos="1701"/>
        </w:tabs>
        <w:ind w:left="1418" w:hanging="1418"/>
      </w:pPr>
      <w:rPr>
        <w:smallCaps w:val="false"/>
        <w:caps w:val="false"/>
        <w:dstrike w:val="false"/>
        <w:strike w:val="false"/>
        <w:vertAlign w:val="baseline"/>
        <w:position w:val="0"/>
        <w:sz w:val="28"/>
        <w:sz w:val="28"/>
        <w:spacing w:val="0"/>
        <w:i w:val="false"/>
        <w:u w:val="none"/>
        <w:b w:val="false"/>
        <w:szCs w:val="28"/>
        <w:iCs w:val="false"/>
        <w:bCs/>
        <w:vanish w:val="false"/>
        <w:rFonts w:ascii="Times New Roman" w:hAnsi="Times New Roman" w:cs="Times New Roman"/>
        <w:color w:val="000000"/>
        <w14:textOutline w14:w="0" w14:cap="rnd" w14:cmpd="sng" w14:algn="ctr">
          <w14:noFill/>
          <w14:prstDash w14:val="solid"/>
          <w14:bevel/>
        </w14:textOutline>
      </w:rPr>
    </w:lvl>
    <w:lvl w:ilvl="4">
      <w:start w:val="1"/>
      <w:numFmt w:val="russianLower"/>
      <w:lvlText w:val="%5)"/>
      <w:lvlJc w:val="left"/>
      <w:pPr>
        <w:tabs>
          <w:tab w:val="num" w:pos="1985"/>
        </w:tabs>
        <w:ind w:left="1985" w:hanging="567"/>
      </w:pPr>
      <w:rPr>
        <w:smallCaps w:val="false"/>
        <w:caps w:val="false"/>
        <w:dstrike w:val="false"/>
        <w:strike w:val="false"/>
        <w:vertAlign w:val="baseline"/>
        <w:position w:val="0"/>
        <w:sz w:val="26"/>
        <w:sz w:val="26"/>
        <w:spacing w:val="0"/>
        <w:i w:val="false"/>
        <w:u w:val="none"/>
        <w:b w:val="false"/>
        <w:iCs w:val="false"/>
        <w:bCs w:val="false"/>
        <w:vanish w:val="false"/>
        <w:rFonts w:ascii="Times New Roman" w:hAnsi="Times New Roman" w:cs="Times New Roman"/>
        <w14:ligatures w14:val="none"/>
        <w14:textOutline w14:w="0" w14:cap="rnd" w14:cmpd="sng" w14:algn="ctr">
          <w14:noFill/>
          <w14:prstDash w14:val="solid"/>
          <w14:bevel/>
        </w14:textOutline>
      </w:rPr>
    </w:lvl>
    <w:lvl w:ilvl="5">
      <w:start w:val="1"/>
      <w:numFmt w:val="bullet"/>
      <w:lvlText w:val=""/>
      <w:lvlJc w:val="left"/>
      <w:pPr>
        <w:tabs>
          <w:tab w:val="num" w:pos="1985"/>
        </w:tabs>
        <w:ind w:left="1985" w:hanging="567"/>
      </w:pPr>
      <w:rPr>
        <w:rFonts w:ascii="Symbol" w:hAnsi="Symbol" w:cs="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decimal"/>
      <w:lvlText w:val="%1)"/>
      <w:lvlJc w:val="left"/>
      <w:pPr>
        <w:tabs>
          <w:tab w:val="num" w:pos="0"/>
        </w:tabs>
        <w:ind w:left="2705" w:hanging="360"/>
      </w:pPr>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abstractNum w:abstractNumId="19">
    <w:lvl w:ilvl="0">
      <w:start w:val="1"/>
      <w:numFmt w:val="bullet"/>
      <w:lvlText w:val=""/>
      <w:lvlJc w:val="left"/>
      <w:pPr>
        <w:tabs>
          <w:tab w:val="num" w:pos="0"/>
        </w:tabs>
        <w:ind w:left="2705" w:hanging="360"/>
      </w:pPr>
      <w:rPr>
        <w:rFonts w:ascii="Symbol" w:hAnsi="Symbol" w:cs="Symbol" w:hint="default"/>
      </w:rPr>
    </w:lvl>
    <w:lvl w:ilvl="1">
      <w:start w:val="1"/>
      <w:numFmt w:val="lowerLetter"/>
      <w:lvlText w:val="%2."/>
      <w:lvlJc w:val="left"/>
      <w:pPr>
        <w:tabs>
          <w:tab w:val="num" w:pos="0"/>
        </w:tabs>
        <w:ind w:left="3425" w:hanging="360"/>
      </w:pPr>
      <w:rPr/>
    </w:lvl>
    <w:lvl w:ilvl="2">
      <w:start w:val="1"/>
      <w:numFmt w:val="lowerRoman"/>
      <w:lvlText w:val="%3."/>
      <w:lvlJc w:val="right"/>
      <w:pPr>
        <w:tabs>
          <w:tab w:val="num" w:pos="0"/>
        </w:tabs>
        <w:ind w:left="4145" w:hanging="180"/>
      </w:pPr>
      <w:rPr/>
    </w:lvl>
    <w:lvl w:ilvl="3">
      <w:start w:val="1"/>
      <w:numFmt w:val="decimal"/>
      <w:lvlText w:val="%4."/>
      <w:lvlJc w:val="left"/>
      <w:pPr>
        <w:tabs>
          <w:tab w:val="num" w:pos="0"/>
        </w:tabs>
        <w:ind w:left="4865" w:hanging="360"/>
      </w:pPr>
      <w:rPr/>
    </w:lvl>
    <w:lvl w:ilvl="4">
      <w:start w:val="1"/>
      <w:numFmt w:val="lowerLetter"/>
      <w:lvlText w:val="%5."/>
      <w:lvlJc w:val="left"/>
      <w:pPr>
        <w:tabs>
          <w:tab w:val="num" w:pos="0"/>
        </w:tabs>
        <w:ind w:left="5585" w:hanging="360"/>
      </w:pPr>
      <w:rPr/>
    </w:lvl>
    <w:lvl w:ilvl="5">
      <w:start w:val="1"/>
      <w:numFmt w:val="lowerRoman"/>
      <w:lvlText w:val="%6."/>
      <w:lvlJc w:val="right"/>
      <w:pPr>
        <w:tabs>
          <w:tab w:val="num" w:pos="0"/>
        </w:tabs>
        <w:ind w:left="6305" w:hanging="180"/>
      </w:pPr>
      <w:rPr/>
    </w:lvl>
    <w:lvl w:ilvl="6">
      <w:start w:val="1"/>
      <w:numFmt w:val="decimal"/>
      <w:lvlText w:val="%7."/>
      <w:lvlJc w:val="left"/>
      <w:pPr>
        <w:tabs>
          <w:tab w:val="num" w:pos="0"/>
        </w:tabs>
        <w:ind w:left="7025" w:hanging="360"/>
      </w:pPr>
      <w:rPr/>
    </w:lvl>
    <w:lvl w:ilvl="7">
      <w:start w:val="1"/>
      <w:numFmt w:val="lowerLetter"/>
      <w:lvlText w:val="%8."/>
      <w:lvlJc w:val="left"/>
      <w:pPr>
        <w:tabs>
          <w:tab w:val="num" w:pos="0"/>
        </w:tabs>
        <w:ind w:left="7745" w:hanging="360"/>
      </w:pPr>
      <w:rPr/>
    </w:lvl>
    <w:lvl w:ilvl="8">
      <w:start w:val="1"/>
      <w:numFmt w:val="lowerRoman"/>
      <w:lvlText w:val="%9."/>
      <w:lvlJc w:val="right"/>
      <w:pPr>
        <w:tabs>
          <w:tab w:val="num" w:pos="0"/>
        </w:tabs>
        <w:ind w:left="84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04"/>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Arial" w:cstheme="minorBidi" w:eastAsiaTheme="minorHAnsi"/>
        <w:sz w:val="26"/>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before="12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Heading1">
    <w:name w:val="Heading 1"/>
    <w:basedOn w:val="Normal"/>
    <w:next w:val="Normal"/>
    <w:link w:val="1"/>
    <w:qFormat/>
    <w:pPr>
      <w:keepNext w:val="true"/>
      <w:keepLines/>
      <w:pageBreakBefore/>
      <w:tabs>
        <w:tab w:val="clear" w:pos="708"/>
        <w:tab w:val="left" w:pos="1134" w:leader="none"/>
      </w:tabs>
      <w:spacing w:before="480" w:after="240"/>
      <w:ind w:left="1134" w:hanging="1134"/>
      <w:outlineLvl w:val="0"/>
    </w:pPr>
    <w:rPr>
      <w:rFonts w:ascii="Arial" w:hAnsi="Arial" w:eastAsia="Times New Roman" w:cs="Times New Roman"/>
      <w:b/>
      <w:sz w:val="40"/>
      <w:szCs w:val="26"/>
      <w:lang w:eastAsia="ru-RU"/>
    </w:rPr>
  </w:style>
  <w:style w:type="paragraph" w:styleId="Heading2">
    <w:name w:val="Heading 2"/>
    <w:basedOn w:val="Normal"/>
    <w:next w:val="Normal"/>
    <w:link w:val="21"/>
    <w:qFormat/>
    <w:pPr>
      <w:keepNext w:val="true"/>
      <w:tabs>
        <w:tab w:val="clear" w:pos="708"/>
        <w:tab w:val="left" w:pos="2694" w:leader="none"/>
      </w:tabs>
      <w:spacing w:before="360" w:after="120"/>
      <w:ind w:left="2694" w:hanging="1134"/>
      <w:outlineLvl w:val="1"/>
    </w:pPr>
    <w:rPr>
      <w:rFonts w:eastAsia="Times New Roman" w:cs="Times New Roman"/>
      <w:b/>
      <w:sz w:val="32"/>
      <w:szCs w:val="26"/>
      <w:lang w:eastAsia="ru-RU"/>
    </w:rPr>
  </w:style>
  <w:style w:type="paragraph" w:styleId="Heading3">
    <w:name w:val="Heading 3"/>
    <w:basedOn w:val="Normal"/>
    <w:next w:val="Normal"/>
    <w:link w:val="3"/>
    <w:semiHidden/>
    <w:unhideWhenUsed/>
    <w:qFormat/>
    <w:pPr>
      <w:keepNext w:val="true"/>
      <w:keepLines/>
      <w:spacing w:before="40" w:after="0"/>
      <w:outlineLvl w:val="2"/>
    </w:pPr>
    <w:rPr>
      <w:rFonts w:ascii="Calibri Light" w:hAnsi="Calibri Light" w:eastAsia="Arial" w:cs="Arial" w:asciiTheme="majorHAnsi" w:cstheme="majorBidi" w:eastAsiaTheme="majorEastAsia" w:hAnsiTheme="majorHAnsi"/>
      <w:color w:val="1F3763" w:themeColor="accent1" w:themeShade="7f"/>
      <w:sz w:val="24"/>
      <w:szCs w:val="24"/>
    </w:rPr>
  </w:style>
  <w:style w:type="paragraph" w:styleId="Heading4">
    <w:name w:val="Heading 4"/>
    <w:basedOn w:val="Normal"/>
    <w:next w:val="Normal"/>
    <w:link w:val="Heading4Char"/>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Heading5Char"/>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link w:val="Heading6Char"/>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Heading7Char"/>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Heading8Char"/>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Heading9Char"/>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basedOn w:val="DefaultParagraphFont"/>
    <w:uiPriority w:val="35"/>
    <w:qFormat/>
    <w:rPr>
      <w:b/>
      <w:bCs/>
      <w:color w:val="4F81BD" w:themeColor="accent1"/>
      <w:sz w:val="18"/>
      <w:szCs w:val="18"/>
    </w:rPr>
  </w:style>
  <w:style w:type="character" w:styleId="FootnoteTextChar">
    <w:name w:val="Footnote Text Char"/>
    <w:uiPriority w:val="99"/>
    <w:qFormat/>
    <w:rPr>
      <w:sz w:val="18"/>
    </w:rPr>
  </w:style>
  <w:style w:type="character" w:styleId="EndnoteTextChar">
    <w:name w:val="Endnote Text Char"/>
    <w:uiPriority w:val="99"/>
    <w:qFormat/>
    <w:rPr>
      <w:sz w:val="20"/>
    </w:rPr>
  </w:style>
  <w:style w:type="character" w:styleId="DefaultParagraphFont" w:default="1">
    <w:name w:val="Default Paragraph Font"/>
    <w:uiPriority w:val="1"/>
    <w:semiHidden/>
    <w:unhideWhenUsed/>
    <w:qFormat/>
    <w:rPr/>
  </w:style>
  <w:style w:type="character" w:styleId="Style" w:customStyle="1">
    <w:name w:val="Верхний колонтитул Знак"/>
    <w:basedOn w:val="DefaultParagraphFont"/>
    <w:uiPriority w:val="99"/>
    <w:qFormat/>
    <w:rPr/>
  </w:style>
  <w:style w:type="character" w:styleId="Style1" w:customStyle="1">
    <w:name w:val="Нижний колонтитул Знак"/>
    <w:basedOn w:val="DefaultParagraphFont"/>
    <w:uiPriority w:val="99"/>
    <w:qFormat/>
    <w:rPr/>
  </w:style>
  <w:style w:type="character" w:styleId="Style2" w:customStyle="1">
    <w:name w:val="[РГ] Инструкция для организатора"/>
    <w:basedOn w:val="DefaultParagraphFont"/>
    <w:uiPriority w:val="1"/>
    <w:qFormat/>
    <w:rPr>
      <w:i/>
      <w:iCs/>
      <w:shd w:fill="FFFF99" w:val="clear"/>
      <w:lang w:val="ru-RU"/>
    </w:rPr>
  </w:style>
  <w:style w:type="character" w:styleId="Style3" w:customStyle="1">
    <w:name w:val="Текст сноски Знак"/>
    <w:basedOn w:val="DefaultParagraphFont"/>
    <w:uiPriority w:val="99"/>
    <w:semiHidden/>
    <w:qFormat/>
    <w:rPr>
      <w:sz w:val="20"/>
      <w:szCs w:val="20"/>
    </w:rPr>
  </w:style>
  <w:style w:type="character" w:styleId="Style4">
    <w:name w:val="Символ сноски"/>
    <w:unhideWhenUsed/>
    <w:qFormat/>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Pr>
      <w:color w:val="0563C1" w:themeColor="hyperlink"/>
      <w:u w:val="single"/>
    </w:rPr>
  </w:style>
  <w:style w:type="character" w:styleId="UnresolvedMention">
    <w:name w:val="Unresolved Mention"/>
    <w:basedOn w:val="DefaultParagraphFont"/>
    <w:uiPriority w:val="99"/>
    <w:semiHidden/>
    <w:unhideWhenUsed/>
    <w:qFormat/>
    <w:rPr>
      <w:color w:val="605E5C"/>
      <w:shd w:fill="E1DFDD" w:val="clear"/>
    </w:rPr>
  </w:style>
  <w:style w:type="character" w:styleId="PlaceholderText">
    <w:name w:val="Placeholder Text"/>
    <w:basedOn w:val="DefaultParagraphFont"/>
    <w:uiPriority w:val="99"/>
    <w:semiHidden/>
    <w:qFormat/>
    <w:rPr>
      <w:color w:val="808080"/>
    </w:rPr>
  </w:style>
  <w:style w:type="character" w:styleId="Style5" w:customStyle="1">
    <w:name w:val="[РГ] Отсылка"/>
    <w:basedOn w:val="DefaultParagraphFont"/>
    <w:uiPriority w:val="1"/>
    <w:qFormat/>
    <w:rPr>
      <w:color w:val="000000"/>
      <w:spacing w:val="0"/>
      <w:u w:val="single"/>
      <w:shd w:fill="auto" w:val="clear"/>
      <w:lang w:val="ru-RU"/>
    </w:rPr>
  </w:style>
  <w:style w:type="character" w:styleId="Annotationreference">
    <w:name w:val="annotation reference"/>
    <w:basedOn w:val="DefaultParagraphFont"/>
    <w:unhideWhenUsed/>
    <w:qFormat/>
    <w:rPr>
      <w:sz w:val="16"/>
      <w:szCs w:val="16"/>
    </w:rPr>
  </w:style>
  <w:style w:type="character" w:styleId="Style6" w:customStyle="1">
    <w:name w:val="Текст примечания Знак"/>
    <w:basedOn w:val="DefaultParagraphFont"/>
    <w:link w:val="Annotationtext"/>
    <w:uiPriority w:val="99"/>
    <w:qFormat/>
    <w:rPr>
      <w:sz w:val="20"/>
      <w:szCs w:val="20"/>
    </w:rPr>
  </w:style>
  <w:style w:type="character" w:styleId="Style7" w:customStyle="1">
    <w:name w:val="Тема примечания Знак"/>
    <w:basedOn w:val="Style6"/>
    <w:link w:val="Annotationsubject"/>
    <w:uiPriority w:val="99"/>
    <w:semiHidden/>
    <w:qFormat/>
    <w:rPr>
      <w:b/>
      <w:bCs/>
      <w:sz w:val="20"/>
      <w:szCs w:val="20"/>
    </w:rPr>
  </w:style>
  <w:style w:type="character" w:styleId="Style8" w:customStyle="1">
    <w:name w:val="[РГ] Инструкция для участника"/>
    <w:basedOn w:val="DefaultParagraphFont"/>
    <w:uiPriority w:val="1"/>
    <w:qFormat/>
    <w:rPr>
      <w:i/>
      <w:shd w:fill="D0CECE" w:val="clear"/>
      <w:lang w:val="ru-RU"/>
    </w:rPr>
  </w:style>
  <w:style w:type="character" w:styleId="FollowedHyperlink">
    <w:name w:val="FollowedHyperlink"/>
    <w:basedOn w:val="DefaultParagraphFont"/>
    <w:uiPriority w:val="99"/>
    <w:semiHidden/>
    <w:unhideWhenUsed/>
    <w:rPr>
      <w:color w:val="954F72" w:themeColor="followedHyperlink"/>
      <w:u w:val="single"/>
    </w:rPr>
  </w:style>
  <w:style w:type="character" w:styleId="2" w:customStyle="1">
    <w:name w:val="Пункт Знак2"/>
    <w:link w:val="Style25"/>
    <w:qFormat/>
    <w:rPr>
      <w:rFonts w:eastAsia="Times New Roman" w:cs="Times New Roman"/>
      <w:szCs w:val="26"/>
      <w:lang w:eastAsia="ru-RU"/>
    </w:rPr>
  </w:style>
  <w:style w:type="character" w:styleId="1" w:customStyle="1">
    <w:name w:val="Заголовок 1 Знак"/>
    <w:basedOn w:val="DefaultParagraphFont"/>
    <w:qFormat/>
    <w:rPr>
      <w:rFonts w:ascii="Arial" w:hAnsi="Arial" w:eastAsia="Times New Roman" w:cs="Times New Roman"/>
      <w:b/>
      <w:sz w:val="40"/>
      <w:szCs w:val="26"/>
      <w:lang w:eastAsia="ru-RU"/>
    </w:rPr>
  </w:style>
  <w:style w:type="character" w:styleId="21" w:customStyle="1">
    <w:name w:val="Заголовок 2 Знак"/>
    <w:basedOn w:val="DefaultParagraphFont"/>
    <w:qFormat/>
    <w:rPr>
      <w:rFonts w:eastAsia="Times New Roman" w:cs="Times New Roman"/>
      <w:b/>
      <w:sz w:val="32"/>
      <w:szCs w:val="26"/>
      <w:lang w:eastAsia="ru-RU"/>
    </w:rPr>
  </w:style>
  <w:style w:type="character" w:styleId="3" w:customStyle="1">
    <w:name w:val="Заголовок 3 Знак"/>
    <w:basedOn w:val="DefaultParagraphFont"/>
    <w:semiHidden/>
    <w:qFormat/>
    <w:rPr>
      <w:rFonts w:ascii="Calibri Light" w:hAnsi="Calibri Light" w:eastAsia="Arial" w:cs="Arial" w:asciiTheme="majorHAnsi" w:cstheme="majorBidi" w:eastAsiaTheme="majorEastAsia" w:hAnsiTheme="majorHAnsi"/>
      <w:color w:val="1F3763" w:themeColor="accent1" w:themeShade="7f"/>
      <w:sz w:val="24"/>
      <w:szCs w:val="24"/>
    </w:rPr>
  </w:style>
  <w:style w:type="character" w:styleId="Style9" w:customStyle="1">
    <w:name w:val="Текст выноски Знак"/>
    <w:basedOn w:val="DefaultParagraphFont"/>
    <w:link w:val="BalloonText"/>
    <w:uiPriority w:val="99"/>
    <w:semiHidden/>
    <w:qFormat/>
    <w:rPr>
      <w:rFonts w:ascii="Segoe UI" w:hAnsi="Segoe UI" w:cs="Segoe UI"/>
      <w:sz w:val="18"/>
      <w:szCs w:val="18"/>
    </w:rPr>
  </w:style>
  <w:style w:type="character" w:styleId="Style10" w:customStyle="1">
    <w:name w:val="РГ_ЕПоЗ_а) Знак"/>
    <w:basedOn w:val="DefaultParagraphFont"/>
    <w:link w:val="Style28"/>
    <w:qFormat/>
    <w:rPr>
      <w:rFonts w:eastAsia="Calibri" w:cs="Times New Roman"/>
      <w:sz w:val="28"/>
      <w:szCs w:val="28"/>
    </w:rPr>
  </w:style>
  <w:style w:type="character" w:styleId="-" w:customStyle="1">
    <w:name w:val="РГ_ЕПоЗ_- Знак"/>
    <w:basedOn w:val="DefaultParagraphFont"/>
    <w:link w:val="-1"/>
    <w:qFormat/>
    <w:rPr>
      <w:rFonts w:eastAsia="Times New Roman" w:cs="Times New Roman"/>
      <w:sz w:val="28"/>
      <w:szCs w:val="20"/>
      <w:lang w:eastAsia="ru-RU"/>
    </w:rPr>
  </w:style>
  <w:style w:type="character" w:styleId="Style11">
    <w:name w:val="Ссылка указателя"/>
    <w:qFormat/>
    <w:rPr/>
  </w:style>
  <w:style w:type="character" w:styleId="Style12">
    <w:name w:val="Символ концевой сноски"/>
    <w:qFormat/>
    <w:rPr>
      <w:vertAlign w:val="superscript"/>
    </w:rPr>
  </w:style>
  <w:style w:type="character" w:styleId="EndnoteReference">
    <w:name w:val="Endnote Reference"/>
    <w:rPr>
      <w:vertAlign w:val="superscript"/>
    </w:rPr>
  </w:style>
  <w:style w:type="paragraph" w:styleId="Style13">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link w:val="CaptionChar"/>
    <w:qFormat/>
    <w:pPr>
      <w:suppressLineNumbers/>
      <w:spacing w:before="120" w:after="120"/>
    </w:pPr>
    <w:rPr>
      <w:rFonts w:cs="Arial Unicode MS"/>
      <w:i/>
      <w:iCs/>
      <w:sz w:val="24"/>
      <w:szCs w:val="24"/>
    </w:rPr>
  </w:style>
  <w:style w:type="paragraph" w:styleId="Style14">
    <w:name w:val="Указатель"/>
    <w:basedOn w:val="Normal"/>
    <w:qFormat/>
    <w:pPr>
      <w:suppressLineNumbers/>
    </w:pPr>
    <w:rPr>
      <w:rFonts w:cs="Arial Unicode MS"/>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Title">
    <w:name w:val="Title"/>
    <w:basedOn w:val="Normal"/>
    <w:next w:val="Normal"/>
    <w:link w:val="TitleChar"/>
    <w:uiPriority w:val="10"/>
    <w:qFormat/>
    <w:pPr>
      <w:spacing w:before="300" w:after="200"/>
      <w:contextualSpacing/>
    </w:pPr>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paragraph" w:styleId="Quote">
    <w:name w:val="Quote"/>
    <w:basedOn w:val="Normal"/>
    <w:next w:val="Normal"/>
    <w:link w:val="QuoteChar"/>
    <w:uiPriority w:val="29"/>
    <w:qFormat/>
    <w:pPr>
      <w:ind w:left="720" w:right="720" w:hanging="0"/>
    </w:pPr>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hanging="0"/>
    </w:pPr>
    <w:rPr>
      <w:i/>
    </w:rPr>
  </w:style>
  <w:style w:type="paragraph" w:styleId="EndnoteText">
    <w:name w:val="Endnote Text"/>
    <w:basedOn w:val="Normal"/>
    <w:link w:val="EndnoteTextChar"/>
    <w:uiPriority w:val="99"/>
    <w:semiHidden/>
    <w:unhideWhenUsed/>
    <w:pPr>
      <w:spacing w:lineRule="auto" w:line="240" w:before="0" w:after="0"/>
    </w:pPr>
    <w:rPr>
      <w:sz w:val="20"/>
    </w:rPr>
  </w:style>
  <w:style w:type="paragraph" w:styleId="IndexHeading">
    <w:name w:val="Index Heading"/>
    <w:basedOn w:val="Style13"/>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Tableoffigures">
    <w:name w:val="table of figures"/>
    <w:basedOn w:val="Normal"/>
    <w:next w:val="Normal"/>
    <w:uiPriority w:val="99"/>
    <w:unhideWhenUsed/>
    <w:qFormat/>
    <w:pPr>
      <w:spacing w:before="0" w:afterAutospacing="0" w:after="0"/>
    </w:pPr>
    <w:rPr/>
  </w:style>
  <w:style w:type="paragraph" w:styleId="Style15" w:customStyle="1">
    <w:name w:val="[РГ] Раздел"/>
    <w:basedOn w:val="Normal"/>
    <w:next w:val="Style16"/>
    <w:qFormat/>
    <w:pPr>
      <w:keepNext w:val="true"/>
      <w:pageBreakBefore/>
      <w:numPr>
        <w:ilvl w:val="0"/>
        <w:numId w:val="1"/>
      </w:numPr>
      <w:spacing w:before="0" w:after="360"/>
      <w:jc w:val="both"/>
      <w:outlineLvl w:val="0"/>
    </w:pPr>
    <w:rPr>
      <w:b/>
      <w:bCs/>
      <w:caps/>
    </w:rPr>
  </w:style>
  <w:style w:type="paragraph" w:styleId="Style16" w:customStyle="1">
    <w:name w:val="[РГ] Подраздел"/>
    <w:basedOn w:val="Normal"/>
    <w:next w:val="Style17"/>
    <w:qFormat/>
    <w:pPr>
      <w:keepNext w:val="true"/>
      <w:numPr>
        <w:ilvl w:val="1"/>
        <w:numId w:val="1"/>
      </w:numPr>
      <w:spacing w:before="360" w:after="0"/>
      <w:jc w:val="both"/>
      <w:outlineLvl w:val="1"/>
    </w:pPr>
    <w:rPr>
      <w:b/>
      <w:bCs/>
    </w:rPr>
  </w:style>
  <w:style w:type="paragraph" w:styleId="Style17" w:customStyle="1">
    <w:name w:val="[РГ] Пункт"/>
    <w:basedOn w:val="Normal"/>
    <w:qFormat/>
    <w:pPr>
      <w:numPr>
        <w:ilvl w:val="2"/>
        <w:numId w:val="1"/>
      </w:numPr>
      <w:jc w:val="both"/>
      <w:outlineLvl w:val="2"/>
    </w:pPr>
    <w:rPr/>
  </w:style>
  <w:style w:type="paragraph" w:styleId="Style18" w:customStyle="1">
    <w:name w:val="[РГ] Подпункт"/>
    <w:basedOn w:val="Normal"/>
    <w:qFormat/>
    <w:pPr>
      <w:numPr>
        <w:ilvl w:val="3"/>
        <w:numId w:val="1"/>
      </w:numPr>
      <w:jc w:val="both"/>
      <w:outlineLvl w:val="3"/>
    </w:pPr>
    <w:rPr/>
  </w:style>
  <w:style w:type="paragraph" w:styleId="Style19" w:customStyle="1">
    <w:name w:val="[РГ] Перечисление"/>
    <w:basedOn w:val="Normal"/>
    <w:qFormat/>
    <w:pPr>
      <w:numPr>
        <w:ilvl w:val="4"/>
        <w:numId w:val="1"/>
      </w:numPr>
      <w:jc w:val="both"/>
      <w:outlineLvl w:val="4"/>
    </w:pPr>
    <w:rPr/>
  </w:style>
  <w:style w:type="paragraph" w:styleId="Style20" w:customStyle="1">
    <w:name w:val="[РГ] Заголовок"/>
    <w:basedOn w:val="Normal"/>
    <w:next w:val="Style21"/>
    <w:qFormat/>
    <w:pPr>
      <w:keepNext w:val="true"/>
      <w:pageBreakBefore/>
      <w:spacing w:before="0" w:after="360"/>
      <w:jc w:val="both"/>
    </w:pPr>
    <w:rPr>
      <w:b/>
      <w:bCs/>
      <w:caps/>
    </w:rPr>
  </w:style>
  <w:style w:type="paragraph" w:styleId="Style21" w:customStyle="1">
    <w:name w:val="[РГ] Текст"/>
    <w:basedOn w:val="Normal"/>
    <w:qFormat/>
    <w:pPr>
      <w:jc w:val="both"/>
    </w:pPr>
    <w:rPr/>
  </w:style>
  <w:style w:type="paragraph" w:styleId="Style22">
    <w:name w:val="Колонтитул"/>
    <w:basedOn w:val="Normal"/>
    <w:qFormat/>
    <w:pPr/>
    <w:rPr/>
  </w:style>
  <w:style w:type="paragraph" w:styleId="Header">
    <w:name w:val="Header"/>
    <w:basedOn w:val="Normal"/>
    <w:link w:val="Style"/>
    <w:uiPriority w:val="99"/>
    <w:unhideWhenUsed/>
    <w:pPr>
      <w:spacing w:before="0" w:after="120"/>
      <w:jc w:val="center"/>
    </w:pPr>
    <w:rPr/>
  </w:style>
  <w:style w:type="paragraph" w:styleId="Footer">
    <w:name w:val="Footer"/>
    <w:basedOn w:val="Normal"/>
    <w:link w:val="Style1"/>
    <w:unhideWhenUsed/>
    <w:pPr>
      <w:jc w:val="right"/>
    </w:pPr>
    <w:rPr/>
  </w:style>
  <w:style w:type="paragraph" w:styleId="FootnoteText">
    <w:name w:val="Footnote Text"/>
    <w:basedOn w:val="Normal"/>
    <w:link w:val="Style3"/>
    <w:uiPriority w:val="99"/>
    <w:semiHidden/>
    <w:unhideWhenUsed/>
    <w:pPr>
      <w:spacing w:before="0" w:after="0"/>
    </w:pPr>
    <w:rPr>
      <w:sz w:val="20"/>
      <w:szCs w:val="20"/>
    </w:rPr>
  </w:style>
  <w:style w:type="paragraph" w:styleId="Style23" w:customStyle="1">
    <w:name w:val="[РГ] Сноска"/>
    <w:basedOn w:val="FootnoteText"/>
    <w:qFormat/>
    <w:pPr>
      <w:spacing w:before="80" w:after="0"/>
      <w:ind w:left="567" w:hanging="567"/>
      <w:jc w:val="both"/>
    </w:pPr>
    <w:rPr>
      <w:sz w:val="22"/>
    </w:rPr>
  </w:style>
  <w:style w:type="paragraph" w:styleId="TOC2">
    <w:name w:val="TOC 2"/>
    <w:basedOn w:val="Normal"/>
    <w:next w:val="Normal"/>
    <w:uiPriority w:val="39"/>
    <w:unhideWhenUsed/>
    <w:pPr>
      <w:tabs>
        <w:tab w:val="clear" w:pos="708"/>
        <w:tab w:val="left" w:pos="851" w:leader="none"/>
        <w:tab w:val="right" w:pos="9923" w:leader="none"/>
      </w:tabs>
      <w:spacing w:before="120" w:after="120"/>
      <w:ind w:left="851" w:hanging="851"/>
    </w:pPr>
    <w:rPr/>
  </w:style>
  <w:style w:type="paragraph" w:styleId="TOC1">
    <w:name w:val="TOC 1"/>
    <w:basedOn w:val="Normal"/>
    <w:next w:val="Normal"/>
    <w:uiPriority w:val="39"/>
    <w:unhideWhenUsed/>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uiPriority w:val="39"/>
    <w:unhideWhenUsed/>
    <w:pPr>
      <w:spacing w:lineRule="auto" w:line="259" w:before="0" w:after="100"/>
      <w:ind w:left="440" w:hanging="0"/>
    </w:pPr>
    <w:rPr>
      <w:rFonts w:ascii="Calibri" w:hAnsi="Calibri" w:eastAsia="Arial" w:asciiTheme="minorHAnsi" w:eastAsiaTheme="minorEastAsia" w:hAnsiTheme="minorHAnsi"/>
      <w:sz w:val="22"/>
      <w:lang w:eastAsia="ru-RU"/>
    </w:rPr>
  </w:style>
  <w:style w:type="paragraph" w:styleId="TOC4">
    <w:name w:val="TOC 4"/>
    <w:basedOn w:val="Normal"/>
    <w:next w:val="Normal"/>
    <w:uiPriority w:val="39"/>
    <w:unhideWhenUsed/>
    <w:pPr>
      <w:spacing w:lineRule="auto" w:line="259" w:before="0" w:after="100"/>
      <w:ind w:left="660" w:hanging="0"/>
    </w:pPr>
    <w:rPr>
      <w:rFonts w:ascii="Calibri" w:hAnsi="Calibri" w:eastAsia="Arial" w:asciiTheme="minorHAnsi" w:eastAsiaTheme="minorEastAsia" w:hAnsiTheme="minorHAnsi"/>
      <w:sz w:val="22"/>
      <w:lang w:eastAsia="ru-RU"/>
    </w:rPr>
  </w:style>
  <w:style w:type="paragraph" w:styleId="TOC5">
    <w:name w:val="TOC 5"/>
    <w:basedOn w:val="Normal"/>
    <w:next w:val="Normal"/>
    <w:uiPriority w:val="39"/>
    <w:unhideWhenUsed/>
    <w:pPr>
      <w:spacing w:lineRule="auto" w:line="259" w:before="0" w:after="100"/>
      <w:ind w:left="880" w:hanging="0"/>
    </w:pPr>
    <w:rPr>
      <w:rFonts w:ascii="Calibri" w:hAnsi="Calibri" w:eastAsia="Arial" w:asciiTheme="minorHAnsi" w:eastAsiaTheme="minorEastAsia" w:hAnsiTheme="minorHAnsi"/>
      <w:sz w:val="22"/>
      <w:lang w:eastAsia="ru-RU"/>
    </w:rPr>
  </w:style>
  <w:style w:type="paragraph" w:styleId="TOC6">
    <w:name w:val="TOC 6"/>
    <w:basedOn w:val="Normal"/>
    <w:next w:val="Normal"/>
    <w:uiPriority w:val="39"/>
    <w:unhideWhenUsed/>
    <w:pPr>
      <w:spacing w:lineRule="auto" w:line="259" w:before="0" w:after="100"/>
      <w:ind w:left="1100" w:hanging="0"/>
    </w:pPr>
    <w:rPr>
      <w:rFonts w:ascii="Calibri" w:hAnsi="Calibri" w:eastAsia="Arial" w:asciiTheme="minorHAnsi" w:eastAsiaTheme="minorEastAsia" w:hAnsiTheme="minorHAnsi"/>
      <w:sz w:val="22"/>
      <w:lang w:eastAsia="ru-RU"/>
    </w:rPr>
  </w:style>
  <w:style w:type="paragraph" w:styleId="TOC7">
    <w:name w:val="TOC 7"/>
    <w:basedOn w:val="Normal"/>
    <w:next w:val="Normal"/>
    <w:uiPriority w:val="39"/>
    <w:unhideWhenUsed/>
    <w:pPr>
      <w:spacing w:lineRule="auto" w:line="259" w:before="0" w:after="100"/>
      <w:ind w:left="1320" w:hanging="0"/>
    </w:pPr>
    <w:rPr>
      <w:rFonts w:ascii="Calibri" w:hAnsi="Calibri" w:eastAsia="Arial" w:asciiTheme="minorHAnsi" w:eastAsiaTheme="minorEastAsia" w:hAnsiTheme="minorHAnsi"/>
      <w:sz w:val="22"/>
      <w:lang w:eastAsia="ru-RU"/>
    </w:rPr>
  </w:style>
  <w:style w:type="paragraph" w:styleId="TOC8">
    <w:name w:val="TOC 8"/>
    <w:basedOn w:val="Normal"/>
    <w:next w:val="Normal"/>
    <w:uiPriority w:val="39"/>
    <w:unhideWhenUsed/>
    <w:pPr>
      <w:spacing w:lineRule="auto" w:line="259" w:before="0" w:after="100"/>
      <w:ind w:left="1540" w:hanging="0"/>
    </w:pPr>
    <w:rPr>
      <w:rFonts w:ascii="Calibri" w:hAnsi="Calibri" w:eastAsia="Arial" w:asciiTheme="minorHAnsi" w:eastAsiaTheme="minorEastAsia" w:hAnsiTheme="minorHAnsi"/>
      <w:sz w:val="22"/>
      <w:lang w:eastAsia="ru-RU"/>
    </w:rPr>
  </w:style>
  <w:style w:type="paragraph" w:styleId="TOC9">
    <w:name w:val="TOC 9"/>
    <w:basedOn w:val="Normal"/>
    <w:next w:val="Normal"/>
    <w:uiPriority w:val="39"/>
    <w:unhideWhenUsed/>
    <w:pPr>
      <w:spacing w:lineRule="auto" w:line="259" w:before="0" w:after="100"/>
      <w:ind w:left="1760" w:hanging="0"/>
    </w:pPr>
    <w:rPr>
      <w:rFonts w:ascii="Calibri" w:hAnsi="Calibri" w:eastAsia="Arial" w:asciiTheme="minorHAnsi" w:eastAsiaTheme="minorEastAsia" w:hAnsiTheme="minorHAnsi"/>
      <w:sz w:val="22"/>
      <w:lang w:eastAsia="ru-RU"/>
    </w:rPr>
  </w:style>
  <w:style w:type="paragraph" w:styleId="Annotationtext">
    <w:name w:val="annotation text"/>
    <w:basedOn w:val="Normal"/>
    <w:link w:val="Style6"/>
    <w:uiPriority w:val="99"/>
    <w:unhideWhenUsed/>
    <w:qFormat/>
    <w:pPr/>
    <w:rPr>
      <w:sz w:val="20"/>
      <w:szCs w:val="20"/>
    </w:rPr>
  </w:style>
  <w:style w:type="paragraph" w:styleId="Annotationsubject">
    <w:name w:val="annotation subject"/>
    <w:basedOn w:val="Annotationtext"/>
    <w:next w:val="Annotationtext"/>
    <w:link w:val="Style7"/>
    <w:uiPriority w:val="99"/>
    <w:semiHidden/>
    <w:unhideWhenUsed/>
    <w:qFormat/>
    <w:pPr/>
    <w:rPr>
      <w:b/>
      <w:bCs/>
    </w:rPr>
  </w:style>
  <w:style w:type="paragraph" w:styleId="Style24" w:customStyle="1">
    <w:name w:val="[РГ] Альтернатива / Дополнение"/>
    <w:basedOn w:val="Style21"/>
    <w:next w:val="Style21"/>
    <w:qFormat/>
    <w:pPr/>
    <w:rPr>
      <w:i/>
      <w:shd w:fill="CCECFF" w:val="clea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Calibri" w:cs="Arial" w:cstheme="minorBidi" w:eastAsiaTheme="minorHAnsi"/>
      <w:color w:val="auto"/>
      <w:kern w:val="0"/>
      <w:sz w:val="26"/>
      <w:szCs w:val="22"/>
      <w:lang w:val="ru-RU" w:eastAsia="en-US" w:bidi="ar-SA"/>
    </w:rPr>
  </w:style>
  <w:style w:type="paragraph" w:styleId="ListParagraph">
    <w:name w:val="List Paragraph"/>
    <w:basedOn w:val="Normal"/>
    <w:uiPriority w:val="34"/>
    <w:qFormat/>
    <w:pPr>
      <w:spacing w:before="120" w:after="0"/>
      <w:ind w:left="720" w:hanging="0"/>
      <w:contextualSpacing/>
    </w:pPr>
    <w:rPr/>
  </w:style>
  <w:style w:type="paragraph" w:styleId="Style25" w:customStyle="1">
    <w:name w:val="Пункт"/>
    <w:basedOn w:val="Normal"/>
    <w:link w:val="2"/>
    <w:qFormat/>
    <w:pPr>
      <w:numPr>
        <w:ilvl w:val="2"/>
        <w:numId w:val="10"/>
      </w:numPr>
      <w:jc w:val="both"/>
    </w:pPr>
    <w:rPr>
      <w:rFonts w:eastAsia="Times New Roman" w:cs="Times New Roman"/>
      <w:szCs w:val="26"/>
      <w:lang w:eastAsia="ru-RU"/>
    </w:rPr>
  </w:style>
  <w:style w:type="paragraph" w:styleId="Style26" w:customStyle="1">
    <w:name w:val="Подпункт"/>
    <w:basedOn w:val="Style25"/>
    <w:qFormat/>
    <w:pPr>
      <w:numPr>
        <w:ilvl w:val="3"/>
      </w:numPr>
      <w:tabs>
        <w:tab w:val="clear" w:pos="708"/>
      </w:tabs>
      <w:ind w:left="2880" w:hanging="360"/>
    </w:pPr>
    <w:rPr/>
  </w:style>
  <w:style w:type="paragraph" w:styleId="Style27" w:customStyle="1">
    <w:name w:val="Подподпункт"/>
    <w:basedOn w:val="Style26"/>
    <w:qFormat/>
    <w:pPr>
      <w:numPr>
        <w:ilvl w:val="4"/>
      </w:numPr>
      <w:ind w:left="3600" w:hanging="360"/>
    </w:pPr>
    <w:rPr/>
  </w:style>
  <w:style w:type="paragraph" w:styleId="BalloonText">
    <w:name w:val="Balloon Text"/>
    <w:basedOn w:val="Normal"/>
    <w:link w:val="Style9"/>
    <w:uiPriority w:val="99"/>
    <w:semiHidden/>
    <w:unhideWhenUsed/>
    <w:qFormat/>
    <w:pPr>
      <w:spacing w:before="0" w:after="0"/>
    </w:pPr>
    <w:rPr>
      <w:rFonts w:ascii="Segoe UI" w:hAnsi="Segoe UI" w:cs="Segoe UI"/>
      <w:sz w:val="18"/>
      <w:szCs w:val="18"/>
    </w:rPr>
  </w:style>
  <w:style w:type="paragraph" w:styleId="11" w:customStyle="1">
    <w:name w:val="РГ_ЕПоЗ_1."/>
    <w:basedOn w:val="Normal"/>
    <w:qFormat/>
    <w:pPr>
      <w:keepNext w:val="true"/>
      <w:numPr>
        <w:ilvl w:val="0"/>
        <w:numId w:val="17"/>
      </w:numPr>
      <w:tabs>
        <w:tab w:val="clear" w:pos="708"/>
        <w:tab w:val="left" w:pos="1418" w:leader="none"/>
      </w:tabs>
      <w:spacing w:before="480" w:after="0"/>
      <w:jc w:val="both"/>
      <w:outlineLvl w:val="0"/>
    </w:pPr>
    <w:rPr>
      <w:rFonts w:eastAsia="Times New Roman" w:cs="Times New Roman"/>
      <w:b/>
      <w:sz w:val="28"/>
      <w:szCs w:val="28"/>
      <w:lang w:eastAsia="ru-RU"/>
    </w:rPr>
  </w:style>
  <w:style w:type="paragraph" w:styleId="111" w:customStyle="1">
    <w:name w:val="РГ_ЕПоЗ_1.1"/>
    <w:basedOn w:val="Normal"/>
    <w:qFormat/>
    <w:pPr>
      <w:keepNext w:val="true"/>
      <w:numPr>
        <w:ilvl w:val="1"/>
        <w:numId w:val="17"/>
      </w:numPr>
      <w:tabs>
        <w:tab w:val="clear" w:pos="708"/>
        <w:tab w:val="left" w:pos="1418" w:leader="none"/>
      </w:tabs>
      <w:spacing w:before="360" w:after="0"/>
      <w:ind w:left="1134" w:hanging="567"/>
      <w:jc w:val="both"/>
      <w:outlineLvl w:val="1"/>
    </w:pPr>
    <w:rPr>
      <w:rFonts w:eastAsia="Times New Roman" w:cs="Times New Roman"/>
      <w:b/>
      <w:sz w:val="28"/>
      <w:szCs w:val="28"/>
      <w:lang w:eastAsia="ru-RU"/>
    </w:rPr>
  </w:style>
  <w:style w:type="paragraph" w:styleId="Style28" w:customStyle="1">
    <w:name w:val="РГ_ЕПоЗ_а)"/>
    <w:basedOn w:val="ListParagraph"/>
    <w:link w:val="Style10"/>
    <w:qFormat/>
    <w:pPr>
      <w:numPr>
        <w:ilvl w:val="4"/>
        <w:numId w:val="17"/>
      </w:numPr>
      <w:spacing w:before="120" w:after="0"/>
      <w:contextualSpacing w:val="false"/>
      <w:jc w:val="both"/>
    </w:pPr>
    <w:rPr>
      <w:rFonts w:eastAsia="Calibri" w:cs="Times New Roman"/>
      <w:sz w:val="28"/>
      <w:szCs w:val="28"/>
    </w:rPr>
  </w:style>
  <w:style w:type="paragraph" w:styleId="1111" w:customStyle="1">
    <w:name w:val="РГ_ЕПоЗ_1.1.1.1"/>
    <w:basedOn w:val="Normal"/>
    <w:qFormat/>
    <w:pPr>
      <w:numPr>
        <w:ilvl w:val="3"/>
        <w:numId w:val="17"/>
      </w:numPr>
      <w:tabs>
        <w:tab w:val="clear" w:pos="708"/>
        <w:tab w:val="left" w:pos="1843" w:leader="none"/>
      </w:tabs>
      <w:jc w:val="both"/>
    </w:pPr>
    <w:rPr>
      <w:rFonts w:eastAsia="Times New Roman" w:cs="Times New Roman"/>
      <w:sz w:val="28"/>
      <w:szCs w:val="28"/>
      <w:lang w:eastAsia="ru-RU"/>
    </w:rPr>
  </w:style>
  <w:style w:type="paragraph" w:styleId="-1" w:customStyle="1">
    <w:name w:val="РГ_ЕПоЗ_-"/>
    <w:basedOn w:val="Normal"/>
    <w:link w:val="-"/>
    <w:qFormat/>
    <w:pPr>
      <w:numPr>
        <w:ilvl w:val="5"/>
        <w:numId w:val="17"/>
      </w:numPr>
      <w:tabs>
        <w:tab w:val="clear" w:pos="708"/>
        <w:tab w:val="left" w:pos="2552" w:leader="none"/>
      </w:tabs>
      <w:spacing w:before="0" w:after="0"/>
      <w:jc w:val="both"/>
    </w:pPr>
    <w:rPr>
      <w:rFonts w:eastAsia="Times New Roman" w:cs="Times New Roman"/>
      <w:sz w:val="28"/>
      <w:szCs w:val="20"/>
      <w:lang w:eastAsia="ru-RU"/>
    </w:rPr>
  </w:style>
  <w:style w:type="paragraph" w:styleId="1112" w:customStyle="1">
    <w:name w:val="РГ_ЕПоЗ_1.1.1"/>
    <w:basedOn w:val="Normal"/>
    <w:qFormat/>
    <w:pPr>
      <w:numPr>
        <w:ilvl w:val="2"/>
        <w:numId w:val="17"/>
      </w:numPr>
      <w:tabs>
        <w:tab w:val="clear" w:pos="708"/>
        <w:tab w:val="left" w:pos="1134" w:leader="none"/>
      </w:tabs>
      <w:jc w:val="both"/>
    </w:pPr>
    <w:rPr>
      <w:rFonts w:eastAsia="Times New Roman" w:cs="Times New Roman"/>
      <w:sz w:val="28"/>
      <w:szCs w:val="28"/>
      <w:lang w:eastAsia="ru-RU"/>
    </w:rPr>
  </w:style>
  <w:style w:type="paragraph" w:styleId="Tableheader">
    <w:name w:val="Table_header"/>
    <w:qFormat/>
    <w:pPr>
      <w:keepNext w:val="false"/>
      <w:keepLines w:val="false"/>
      <w:pageBreakBefore w:val="false"/>
      <w:widowControl/>
      <w:shd w:val="nil"/>
      <w:suppressAutoHyphens w:val="true"/>
      <w:bidi w:val="0"/>
      <w:spacing w:lineRule="auto" w:line="240" w:beforeAutospacing="0" w:before="120" w:afterAutospacing="0" w:after="0"/>
      <w:ind w:left="0" w:right="0" w:hanging="0"/>
      <w:jc w:val="both"/>
    </w:pPr>
    <w:rPr>
      <w:rFonts w:ascii="Times New Roman" w:hAnsi="Times New Roman" w:eastAsia="Tahoma" w:cs="Droid Sans Devanagari"/>
      <w:b/>
      <w:bCs w:val="false"/>
      <w:i w:val="false"/>
      <w:iCs w:val="false"/>
      <w:caps w:val="false"/>
      <w:smallCaps w:val="false"/>
      <w:strike w:val="false"/>
      <w:dstrike w:val="false"/>
      <w:vanish w:val="false"/>
      <w:color w:val="auto"/>
      <w:spacing w:val="0"/>
      <w:kern w:val="0"/>
      <w:position w:val="0"/>
      <w:sz w:val="20"/>
      <w:sz w:val="20"/>
      <w:szCs w:val="24"/>
      <w:u w:val="none"/>
      <w:vertAlign w:val="baseline"/>
      <w:lang w:val="ru-RU" w:eastAsia="ru-RU" w:bidi="ar-SA"/>
      <w14:ligatures w14:val="none"/>
    </w:rPr>
  </w:style>
  <w:style w:type="paragraph" w:styleId="Tabletext">
    <w:name w:val="Table_text"/>
    <w:qFormat/>
    <w:pPr>
      <w:keepNext w:val="false"/>
      <w:keepLines w:val="false"/>
      <w:pageBreakBefore w:val="false"/>
      <w:widowControl/>
      <w:shd w:val="nil"/>
      <w:suppressAutoHyphens w:val="true"/>
      <w:bidi w:val="0"/>
      <w:spacing w:lineRule="auto" w:line="240" w:beforeAutospacing="0" w:before="120" w:afterAutospacing="0" w:after="0"/>
      <w:ind w:left="0" w:right="0" w:hanging="0"/>
      <w:jc w:val="both"/>
    </w:pPr>
    <w:rPr>
      <w:rFonts w:ascii="Times New Roman" w:hAnsi="Times New Roman" w:eastAsia="Tahoma" w:cs="Droid Sans Devanagari"/>
      <w:b w:val="false"/>
      <w:bCs w:val="false"/>
      <w:i w:val="false"/>
      <w:iCs w:val="false"/>
      <w:caps w:val="false"/>
      <w:smallCaps w:val="false"/>
      <w:strike w:val="false"/>
      <w:dstrike w:val="false"/>
      <w:vanish w:val="false"/>
      <w:color w:val="auto"/>
      <w:spacing w:val="0"/>
      <w:kern w:val="0"/>
      <w:position w:val="0"/>
      <w:sz w:val="20"/>
      <w:sz w:val="20"/>
      <w:szCs w:val="24"/>
      <w:u w:val="none"/>
      <w:vertAlign w:val="baseline"/>
      <w:lang w:val="ru-RU" w:eastAsia="ru-RU" w:bidi="ar-SA"/>
      <w14:ligatures w14:val="none"/>
    </w:rPr>
  </w:style>
  <w:style w:type="paragraph" w:styleId="Style29">
    <w:name w:val="Содержимое таблицы"/>
    <w:basedOn w:val="Normal"/>
    <w:qFormat/>
    <w:pPr>
      <w:widowControl w:val="false"/>
      <w:suppressLineNumbers/>
    </w:pPr>
    <w:rPr/>
  </w:style>
  <w:style w:type="paragraph" w:styleId="Style30">
    <w:name w:val="Заголовок таблицы"/>
    <w:basedOn w:val="Style29"/>
    <w:qFormat/>
    <w:pPr>
      <w:suppressLineNumbers/>
      <w:jc w:val="center"/>
    </w:pPr>
    <w:rPr>
      <w:b/>
      <w:bCs/>
    </w:rPr>
  </w:style>
  <w:style w:type="numbering" w:styleId="NoList" w:default="1">
    <w:name w:val="No List"/>
    <w:uiPriority w:val="99"/>
    <w:semiHidden/>
    <w:unhideWhenUsed/>
    <w:qFormat/>
  </w:style>
  <w:style w:type="table" w:styleId="1278">
    <w:name w:val="Table Grid Light"/>
    <w:basedOn w:val="148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279">
    <w:name w:val="Plain Table 1"/>
    <w:basedOn w:val="1481"/>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1280">
    <w:name w:val="Plain Table 2"/>
    <w:basedOn w:val="1481"/>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1281">
    <w:name w:val="Plain Table 3"/>
    <w:basedOn w:val="1481"/>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1282">
    <w:name w:val="Plain Table 4"/>
    <w:basedOn w:val="1481"/>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1283">
    <w:name w:val="Plain Table 5"/>
    <w:basedOn w:val="1481"/>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pPr>
        <w:jc w:val="right"/>
      </w:pPr>
      <w:rPr>
        <w:i/>
        <w:color w:val="404040"/>
      </w:rPr>
      <w:tblPr/>
      <w:tcPr>
        <w:tcBorders>
          <w:right w:val="single" w:color="404040" w:sz="4" w:space="0"/>
        </w:tcBorders>
        <w:shd w:val="clear" w:color="FFFFFF"/>
      </w:tcPr>
    </w:tblStylePr>
    <w:tblStylePr w:type="firstRow">
      <w:rPr>
        <w:i/>
        <w:color w:val="404040"/>
      </w:rPr>
      <w:tblPr/>
      <w:tcPr>
        <w:tcBorders>
          <w:left w:val="none" w:color="000000" w:sz="4" w:space="0"/>
          <w:bottom w:val="single" w:color="404040" w:sz="4" w:space="0"/>
          <w:right w:val="none" w:color="000000" w:sz="4" w:space="0"/>
        </w:tcBorders>
        <w:shd w:val="clear" w:color="FFFFFF"/>
      </w:tcPr>
    </w:tblStylePr>
    <w:tblStylePr w:type="lastCol">
      <w:rPr>
        <w:i/>
        <w:color w:val="404040"/>
      </w:rPr>
      <w:tblPr/>
      <w:tcPr>
        <w:tcBorders>
          <w:left w:val="single" w:color="404040" w:sz="4" w:space="0"/>
        </w:tcBorders>
        <w:shd w:val="clear" w:color="FFFFFF"/>
      </w:tcPr>
    </w:tblStylePr>
    <w:tblStylePr w:type="lastRow">
      <w:rPr>
        <w:i/>
        <w:color w:val="404040"/>
      </w:rPr>
      <w:tblPr/>
      <w:tcPr>
        <w:tcBorders>
          <w:top w:val="single" w:color="404040" w:sz="4" w:space="0"/>
          <w:left w:val="none" w:color="000000" w:sz="4" w:space="0"/>
          <w:right w:val="none" w:color="000000" w:sz="4" w:space="0"/>
        </w:tcBorders>
        <w:shd w:val="clear" w:color="FFFFFF"/>
      </w:tcPr>
    </w:tblStylePr>
  </w:style>
  <w:style w:type="table" w:styleId="1284">
    <w:name w:val="Grid Table 1 Light"/>
    <w:basedOn w:val="1481"/>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Pr/>
    </w:tblStylePr>
    <w:tblStylePr w:type="firstRow">
      <w:rPr>
        <w:b/>
        <w:color w:val="404040"/>
      </w:rPr>
      <w:tblPr/>
      <w:tcPr>
        <w:tcBorders>
          <w:bottom w:val="single" w:color="000000" w:themeColor="text1" w:sz="12" w:space="0"/>
        </w:tcBorders>
      </w:tcPr>
    </w:tblStylePr>
    <w:tblStylePr w:type="lastCol">
      <w:rPr>
        <w:b/>
        <w:color w:val="404040"/>
      </w:rPr>
      <w:tblPr/>
    </w:tblStylePr>
    <w:tblStylePr w:type="lastRow">
      <w:rPr>
        <w:b/>
        <w:color w:val="404040"/>
      </w:rPr>
      <w:tblPr/>
    </w:tblStylePr>
  </w:style>
  <w:style w:type="table" w:styleId="1285">
    <w:name w:val="Grid Table 1 Light - Accent 1"/>
    <w:basedOn w:val="148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Pr/>
    </w:tblStylePr>
    <w:tblStylePr w:type="firstRow">
      <w:rPr>
        <w:b/>
        <w:color w:val="404040"/>
      </w:rPr>
      <w:tblPr/>
      <w:tcPr>
        <w:tcBorders>
          <w:bottom w:val="single" w:color="000000" w:themeColor="accent1" w:sz="12" w:space="0"/>
        </w:tcBorders>
      </w:tcPr>
    </w:tblStylePr>
    <w:tblStylePr w:type="lastCol">
      <w:rPr>
        <w:b/>
        <w:color w:val="404040"/>
      </w:rPr>
      <w:tblPr/>
    </w:tblStylePr>
    <w:tblStylePr w:type="lastRow">
      <w:rPr>
        <w:b/>
        <w:color w:val="404040"/>
      </w:rPr>
      <w:tblPr/>
    </w:tblStylePr>
  </w:style>
  <w:style w:type="table" w:styleId="1286">
    <w:name w:val="Grid Table 1 Light - Accent 2"/>
    <w:basedOn w:val="1481"/>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Pr/>
    </w:tblStylePr>
    <w:tblStylePr w:type="firstRow">
      <w:rPr>
        <w:b/>
        <w:color w:val="404040"/>
      </w:rPr>
      <w:tblPr/>
      <w:tcPr>
        <w:tcBorders>
          <w:bottom w:val="single" w:color="000000" w:themeColor="accent2" w:sz="12" w:space="0"/>
        </w:tcBorders>
      </w:tcPr>
    </w:tblStylePr>
    <w:tblStylePr w:type="lastCol">
      <w:rPr>
        <w:b/>
        <w:color w:val="404040"/>
      </w:rPr>
      <w:tblPr/>
    </w:tblStylePr>
    <w:tblStylePr w:type="lastRow">
      <w:rPr>
        <w:b/>
        <w:color w:val="404040"/>
      </w:rPr>
      <w:tblPr/>
    </w:tblStylePr>
  </w:style>
  <w:style w:type="table" w:styleId="1287">
    <w:name w:val="Grid Table 1 Light - Accent 3"/>
    <w:basedOn w:val="1481"/>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Pr/>
    </w:tblStylePr>
    <w:tblStylePr w:type="firstRow">
      <w:rPr>
        <w:b/>
        <w:color w:val="404040"/>
      </w:rPr>
      <w:tblPr/>
      <w:tcPr>
        <w:tcBorders>
          <w:bottom w:val="single" w:color="000000" w:themeColor="accent3" w:sz="12" w:space="0"/>
        </w:tcBorders>
      </w:tcPr>
    </w:tblStylePr>
    <w:tblStylePr w:type="lastCol">
      <w:rPr>
        <w:b/>
        <w:color w:val="404040"/>
      </w:rPr>
      <w:tblPr/>
    </w:tblStylePr>
    <w:tblStylePr w:type="lastRow">
      <w:rPr>
        <w:b/>
        <w:color w:val="404040"/>
      </w:rPr>
      <w:tblPr/>
    </w:tblStylePr>
  </w:style>
  <w:style w:type="table" w:styleId="1288">
    <w:name w:val="Grid Table 1 Light - Accent 4"/>
    <w:basedOn w:val="1481"/>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Pr/>
    </w:tblStylePr>
    <w:tblStylePr w:type="firstRow">
      <w:rPr>
        <w:b/>
        <w:color w:val="404040"/>
      </w:rPr>
      <w:tblPr/>
      <w:tcPr>
        <w:tcBorders>
          <w:bottom w:val="single" w:color="000000" w:themeColor="accent4" w:sz="12" w:space="0"/>
        </w:tcBorders>
      </w:tcPr>
    </w:tblStylePr>
    <w:tblStylePr w:type="lastCol">
      <w:rPr>
        <w:b/>
        <w:color w:val="404040"/>
      </w:rPr>
      <w:tblPr/>
    </w:tblStylePr>
    <w:tblStylePr w:type="lastRow">
      <w:rPr>
        <w:b/>
        <w:color w:val="404040"/>
      </w:rPr>
      <w:tblPr/>
    </w:tblStylePr>
  </w:style>
  <w:style w:type="table" w:styleId="1289">
    <w:name w:val="Grid Table 1 Light - Accent 5"/>
    <w:basedOn w:val="1481"/>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Pr/>
    </w:tblStylePr>
    <w:tblStylePr w:type="firstRow">
      <w:rPr>
        <w:b/>
        <w:color w:val="404040"/>
      </w:rPr>
      <w:tblPr/>
      <w:tcPr>
        <w:tcBorders>
          <w:bottom w:val="single" w:color="000000" w:themeColor="accent5" w:sz="12" w:space="0"/>
        </w:tcBorders>
      </w:tcPr>
    </w:tblStylePr>
    <w:tblStylePr w:type="lastCol">
      <w:rPr>
        <w:b/>
        <w:color w:val="404040"/>
      </w:rPr>
      <w:tblPr/>
    </w:tblStylePr>
    <w:tblStylePr w:type="lastRow">
      <w:rPr>
        <w:b/>
        <w:color w:val="404040"/>
      </w:rPr>
      <w:tblPr/>
    </w:tblStylePr>
  </w:style>
  <w:style w:type="table" w:styleId="1290">
    <w:name w:val="Grid Table 1 Light - Accent 6"/>
    <w:basedOn w:val="1481"/>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Pr/>
    </w:tblStylePr>
    <w:tblStylePr w:type="firstRow">
      <w:rPr>
        <w:b/>
        <w:color w:val="404040"/>
      </w:rPr>
      <w:tblPr/>
      <w:tcPr>
        <w:tcBorders>
          <w:bottom w:val="single" w:color="000000" w:themeColor="accent6" w:sz="12" w:space="0"/>
        </w:tcBorders>
      </w:tcPr>
    </w:tblStylePr>
    <w:tblStylePr w:type="lastCol">
      <w:rPr>
        <w:b/>
        <w:color w:val="404040"/>
      </w:rPr>
      <w:tblPr/>
    </w:tblStylePr>
    <w:tblStylePr w:type="lastRow">
      <w:rPr>
        <w:b/>
        <w:color w:val="404040"/>
      </w:rPr>
      <w:tblPr/>
    </w:tblStylePr>
  </w:style>
  <w:style w:type="table" w:styleId="1291">
    <w:name w:val="Grid Table 2"/>
    <w:basedOn w:val="1481"/>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tcPr>
    </w:tblStylePr>
  </w:style>
  <w:style w:type="table" w:styleId="1292">
    <w:name w:val="Grid Table 2 - Accent 1"/>
    <w:basedOn w:val="148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9E2F2" w:themeFill="accent1" w:themeFillTint="34"/>
      </w:tcPr>
    </w:tblStylePr>
    <w:tblStylePr w:type="band1Vert">
      <w:rPr>
        <w:color w:val="404040"/>
        <w:sz w:val="22"/>
      </w:rPr>
      <w:tblPr/>
      <w:tcPr>
        <w:shd w:val="clear" w:color="FFFFFF" w:fill="D9E2F2"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shd w:val="clear" w:color="FFFFFF"/>
      </w:tcPr>
    </w:tblStylePr>
  </w:style>
  <w:style w:type="table" w:styleId="1293">
    <w:name w:val="Grid Table 2 - Accent 2"/>
    <w:basedOn w:val="1481"/>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BE5D6" w:themeFill="accent2" w:themeFillTint="32"/>
      </w:tcPr>
    </w:tblStylePr>
    <w:tblStylePr w:type="band1Vert">
      <w:rPr>
        <w:color w:val="404040"/>
        <w:sz w:val="22"/>
      </w:rPr>
      <w:tblPr/>
      <w:tcPr>
        <w:shd w:val="clear" w:color="FFFFFF" w:fill="FBE5D6"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shd w:val="clear" w:color="FFFFFF"/>
      </w:tcPr>
    </w:tblStylePr>
  </w:style>
  <w:style w:type="table" w:styleId="1294">
    <w:name w:val="Grid Table 2 - Accent 3"/>
    <w:basedOn w:val="1481"/>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DEDED" w:themeFill="accent3" w:themeFillTint="34"/>
      </w:tcPr>
    </w:tblStylePr>
    <w:tblStylePr w:type="band1Vert">
      <w:rPr>
        <w:color w:val="404040"/>
        <w:sz w:val="22"/>
      </w:rPr>
      <w:tblPr/>
      <w:tcPr>
        <w:shd w:val="clear" w:color="FFFFFF" w:fill="EDEDED"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shd w:val="clear" w:color="FFFFFF"/>
      </w:tcPr>
    </w:tblStylePr>
  </w:style>
  <w:style w:type="table" w:styleId="1295">
    <w:name w:val="Grid Table 2 - Accent 4"/>
    <w:basedOn w:val="1481"/>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FEF2CB" w:themeFill="accent4" w:themeFillTint="34"/>
      </w:tcPr>
    </w:tblStylePr>
    <w:tblStylePr w:type="band1Vert">
      <w:rPr>
        <w:color w:val="404040"/>
        <w:sz w:val="22"/>
      </w:rPr>
      <w:tblPr/>
      <w:tcPr>
        <w:shd w:val="clear" w:color="FFFFFF" w:fill="FEF2CB"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shd w:val="clear" w:color="FFFFFF"/>
      </w:tcPr>
    </w:tblStylePr>
  </w:style>
  <w:style w:type="table" w:styleId="1296">
    <w:name w:val="Grid Table 2 - Accent 5"/>
    <w:basedOn w:val="1481"/>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DEBF6" w:themeFill="accent5" w:themeFillTint="34"/>
      </w:tcPr>
    </w:tblStylePr>
    <w:tblStylePr w:type="band1Vert">
      <w:rPr>
        <w:color w:val="404040"/>
        <w:sz w:val="22"/>
      </w:rPr>
      <w:tblPr/>
      <w:tcPr>
        <w:shd w:val="clear" w:color="FFFFFF" w:fill="DDEBF6"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1297">
    <w:name w:val="Grid Table 2 - Accent 6"/>
    <w:basedOn w:val="1481"/>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E2EFD8" w:themeFill="accent6" w:themeFillTint="34"/>
      </w:tcPr>
    </w:tblStylePr>
    <w:tblStylePr w:type="band1Vert">
      <w:rPr>
        <w:color w:val="404040"/>
        <w:sz w:val="22"/>
      </w:rPr>
      <w:tblPr/>
      <w:tcPr>
        <w:shd w:val="clear" w:color="FFFFFF" w:fill="E2EF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1298">
    <w:name w:val="Grid Table 3"/>
    <w:basedOn w:val="1481"/>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1299">
    <w:name w:val="Grid Table 3 - Accent 1"/>
    <w:basedOn w:val="1481"/>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9E2F2" w:themeFill="accent1" w:themeFillTint="34"/>
      </w:tcPr>
    </w:tblStylePr>
    <w:tblStylePr w:type="band1Vert">
      <w:rPr>
        <w:color w:val="404040"/>
        <w:sz w:val="22"/>
      </w:rPr>
      <w:tblPr/>
      <w:tcPr>
        <w:shd w:val="clear" w:color="FFFFFF" w:fill="D9E2F2"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1300">
    <w:name w:val="Grid Table 3 - Accent 2"/>
    <w:basedOn w:val="1481"/>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BE5D6" w:themeFill="accent2" w:themeFillTint="32"/>
      </w:tcPr>
    </w:tblStylePr>
    <w:tblStylePr w:type="band1Vert">
      <w:rPr>
        <w:color w:val="404040"/>
        <w:sz w:val="22"/>
      </w:rPr>
      <w:tblPr/>
      <w:tcPr>
        <w:shd w:val="clear" w:color="FFFFFF" w:fill="FBE5D6"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1301">
    <w:name w:val="Grid Table 3 - Accent 3"/>
    <w:basedOn w:val="1481"/>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DEDED" w:themeFill="accent3" w:themeFillTint="34"/>
      </w:tcPr>
    </w:tblStylePr>
    <w:tblStylePr w:type="band1Vert">
      <w:rPr>
        <w:color w:val="404040"/>
        <w:sz w:val="22"/>
      </w:rPr>
      <w:tblPr/>
      <w:tcPr>
        <w:shd w:val="clear" w:color="FFFFFF" w:fill="EDEDED"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1302">
    <w:name w:val="Grid Table 3 - Accent 4"/>
    <w:basedOn w:val="1481"/>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FEF2CB" w:themeFill="accent4" w:themeFillTint="34"/>
      </w:tcPr>
    </w:tblStylePr>
    <w:tblStylePr w:type="band1Vert">
      <w:rPr>
        <w:color w:val="404040"/>
        <w:sz w:val="22"/>
      </w:rPr>
      <w:tblPr/>
      <w:tcPr>
        <w:shd w:val="clear" w:color="FFFFFF" w:fill="FEF2CB"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1303">
    <w:name w:val="Grid Table 3 - Accent 5"/>
    <w:basedOn w:val="1481"/>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DEBF6" w:themeFill="accent5" w:themeFillTint="34"/>
      </w:tcPr>
    </w:tblStylePr>
    <w:tblStylePr w:type="band1Vert">
      <w:rPr>
        <w:color w:val="404040"/>
        <w:sz w:val="22"/>
      </w:rPr>
      <w:tblPr/>
      <w:tcPr>
        <w:shd w:val="clear" w:color="FFFFFF" w:fill="DDEBF6"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1304">
    <w:name w:val="Grid Table 3 - Accent 6"/>
    <w:basedOn w:val="1481"/>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E2EFD8" w:themeFill="accent6" w:themeFillTint="34"/>
      </w:tcPr>
    </w:tblStylePr>
    <w:tblStylePr w:type="band1Vert">
      <w:rPr>
        <w:color w:val="404040"/>
        <w:sz w:val="22"/>
      </w:rPr>
      <w:tblPr/>
      <w:tcPr>
        <w:shd w:val="clear" w:color="FFFFFF" w:fill="E2EF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1305">
    <w:name w:val="Grid Table 4"/>
    <w:basedOn w:val="1481"/>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styleId="1306">
    <w:name w:val="Grid Table 4 - Accent 1"/>
    <w:basedOn w:val="1481"/>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blPr/>
      <w:tcPr>
        <w:shd w:val="clear" w:color="FFFFFF" w:fill="DAE3F3" w:themeFill="accent1" w:themeFillTint="32"/>
      </w:tcPr>
    </w:tblStylePr>
    <w:tblStylePr w:type="band1Vert">
      <w:rPr>
        <w:color w:val="404040"/>
        <w:sz w:val="22"/>
      </w:rPr>
      <w:tblPr/>
      <w:tcPr>
        <w:shd w:val="clear" w:color="FFFFFF" w:fill="DAE3F3" w:themeFill="accent1" w:themeFillTint="32"/>
      </w:tcPr>
    </w:tblStylePr>
    <w:tblStylePr w:type="firstCol">
      <w:rPr>
        <w:b/>
        <w:color w:val="404040"/>
      </w:rPr>
      <w:tblPr/>
    </w:tblStylePr>
    <w:tblStylePr w:type="firstRow">
      <w:rPr>
        <w:b/>
        <w:color w:val="FFFFFF"/>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37FC8" w:themeFill="accent1" w:themeFillTint="ea"/>
      </w:tcPr>
    </w:tblStylePr>
    <w:tblStylePr w:type="lastCol">
      <w:rPr>
        <w:b/>
        <w:color w:val="404040"/>
      </w:rPr>
      <w:tblPr/>
    </w:tblStylePr>
    <w:tblStylePr w:type="lastRow">
      <w:rPr>
        <w:b/>
        <w:color w:val="404040"/>
      </w:rPr>
      <w:tblPr/>
      <w:tcPr>
        <w:tcBorders>
          <w:top w:val="single" w:color="000000" w:themeColor="accent1" w:sz="4" w:space="0"/>
        </w:tcBorders>
      </w:tcPr>
    </w:tblStylePr>
  </w:style>
  <w:style w:type="table" w:styleId="1307">
    <w:name w:val="Grid Table 4 - Accent 2"/>
    <w:basedOn w:val="1481"/>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blPr/>
      <w:tcPr>
        <w:shd w:val="clear" w:color="FFFFFF" w:fill="FBE5D6" w:themeFill="accent2" w:themeFillTint="32"/>
      </w:tcPr>
    </w:tblStylePr>
    <w:tblStylePr w:type="band1Vert">
      <w:rPr>
        <w:color w:val="404040"/>
        <w:sz w:val="22"/>
      </w:rPr>
      <w:tblPr/>
      <w:tcPr>
        <w:shd w:val="clear" w:color="FFFFFF" w:fill="FBE5D6" w:themeFill="accent2" w:themeFillTint="32"/>
      </w:tcPr>
    </w:tblStylePr>
    <w:tblStylePr w:type="firstCol">
      <w:rPr>
        <w:b/>
        <w:color w:val="404040"/>
      </w:rPr>
      <w:tblPr/>
    </w:tblStylePr>
    <w:tblStylePr w:type="firstRow">
      <w:rPr>
        <w:b/>
        <w:color w:val="FFFFFF"/>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F4B185" w:themeFill="accent2" w:themeFillTint="97"/>
      </w:tcPr>
    </w:tblStylePr>
    <w:tblStylePr w:type="lastCol">
      <w:rPr>
        <w:b/>
        <w:color w:val="404040"/>
      </w:rPr>
      <w:tblPr/>
    </w:tblStylePr>
    <w:tblStylePr w:type="lastRow">
      <w:rPr>
        <w:b/>
        <w:color w:val="404040"/>
      </w:rPr>
      <w:tblPr/>
      <w:tcPr>
        <w:tcBorders>
          <w:top w:val="single" w:color="000000" w:themeColor="accent2" w:sz="4" w:space="0"/>
        </w:tcBorders>
      </w:tcPr>
    </w:tblStylePr>
  </w:style>
  <w:style w:type="table" w:styleId="1308">
    <w:name w:val="Grid Table 4 - Accent 3"/>
    <w:basedOn w:val="1481"/>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blPr/>
      <w:tcPr>
        <w:shd w:val="clear" w:color="FFFFFF" w:fill="EDEDED" w:themeFill="accent3" w:themeFillTint="34"/>
      </w:tcPr>
    </w:tblStylePr>
    <w:tblStylePr w:type="band1Vert">
      <w:rPr>
        <w:color w:val="404040"/>
        <w:sz w:val="22"/>
      </w:rPr>
      <w:tblPr/>
      <w:tcPr>
        <w:shd w:val="clear" w:color="FFFFFF" w:fill="EDEDED" w:themeFill="accent3" w:themeFillTint="34"/>
      </w:tcPr>
    </w:tblStylePr>
    <w:tblStylePr w:type="firstCol">
      <w:rPr>
        <w:b/>
        <w:color w:val="404040"/>
      </w:rPr>
      <w:tblPr/>
    </w:tblStylePr>
    <w:tblStylePr w:type="firstRow">
      <w:rPr>
        <w:b/>
        <w:color w:val="FFFFFF"/>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A5A5A5" w:themeFill="accent3" w:themeFillTint="fe"/>
      </w:tcPr>
    </w:tblStylePr>
    <w:tblStylePr w:type="lastCol">
      <w:rPr>
        <w:b/>
        <w:color w:val="404040"/>
      </w:rPr>
      <w:tblPr/>
    </w:tblStylePr>
    <w:tblStylePr w:type="lastRow">
      <w:rPr>
        <w:b/>
        <w:color w:val="404040"/>
      </w:rPr>
      <w:tblPr/>
      <w:tcPr>
        <w:tcBorders>
          <w:top w:val="single" w:color="000000" w:themeColor="accent3" w:sz="4" w:space="0"/>
        </w:tcBorders>
      </w:tcPr>
    </w:tblStylePr>
  </w:style>
  <w:style w:type="table" w:styleId="1309">
    <w:name w:val="Grid Table 4 - Accent 4"/>
    <w:basedOn w:val="1481"/>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blPr/>
      <w:tcPr>
        <w:shd w:val="clear" w:color="FFFFFF" w:fill="FEF2CB" w:themeFill="accent4" w:themeFillTint="34"/>
      </w:tcPr>
    </w:tblStylePr>
    <w:tblStylePr w:type="band1Vert">
      <w:rPr>
        <w:color w:val="404040"/>
        <w:sz w:val="22"/>
      </w:rPr>
      <w:tblPr/>
      <w:tcPr>
        <w:shd w:val="clear" w:color="FFFFFF" w:fill="FEF2CB" w:themeFill="accent4" w:themeFillTint="34"/>
      </w:tcPr>
    </w:tblStylePr>
    <w:tblStylePr w:type="firstCol">
      <w:rPr>
        <w:b/>
        <w:color w:val="404040"/>
      </w:rPr>
      <w:tblPr/>
    </w:tblStylePr>
    <w:tblStylePr w:type="firstRow">
      <w:rPr>
        <w:b/>
        <w:color w:val="FFFFFF"/>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FFD864" w:themeFill="accent4" w:themeFillTint="9a"/>
      </w:tcPr>
    </w:tblStylePr>
    <w:tblStylePr w:type="lastCol">
      <w:rPr>
        <w:b/>
        <w:color w:val="404040"/>
      </w:rPr>
      <w:tblPr/>
    </w:tblStylePr>
    <w:tblStylePr w:type="lastRow">
      <w:rPr>
        <w:b/>
        <w:color w:val="404040"/>
      </w:rPr>
      <w:tblPr/>
      <w:tcPr>
        <w:tcBorders>
          <w:top w:val="single" w:color="000000" w:themeColor="accent4" w:sz="4" w:space="0"/>
        </w:tcBorders>
      </w:tcPr>
    </w:tblStylePr>
  </w:style>
  <w:style w:type="table" w:styleId="1310">
    <w:name w:val="Grid Table 4 - Accent 5"/>
    <w:basedOn w:val="1481"/>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blPr/>
      <w:tcPr>
        <w:shd w:val="clear" w:color="FFFFFF" w:fill="DDEBF6" w:themeFill="accent5" w:themeFillTint="34"/>
      </w:tcPr>
    </w:tblStylePr>
    <w:tblStylePr w:type="band1Vert">
      <w:rPr>
        <w:color w:val="404040"/>
        <w:sz w:val="22"/>
      </w:rPr>
      <w:tblPr/>
      <w:tcPr>
        <w:shd w:val="clear" w:color="FFFFFF" w:fill="DDEBF6" w:themeFill="accent5" w:themeFillTint="34"/>
      </w:tcPr>
    </w:tblStylePr>
    <w:tblStylePr w:type="firstCol">
      <w:rPr>
        <w:b/>
        <w:color w:val="404040"/>
      </w:rPr>
      <w:tblPr/>
    </w:tblStylePr>
    <w:tblStylePr w:type="firstRow">
      <w:rPr>
        <w:b/>
        <w:color w:val="FFFFFF"/>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5B9BD5" w:themeFill="accent5"/>
      </w:tcPr>
    </w:tblStylePr>
    <w:tblStylePr w:type="lastCol">
      <w:rPr>
        <w:b/>
        <w:color w:val="404040"/>
      </w:rPr>
      <w:tblPr/>
    </w:tblStylePr>
    <w:tblStylePr w:type="lastRow">
      <w:rPr>
        <w:b/>
        <w:color w:val="404040"/>
      </w:rPr>
      <w:tblPr/>
      <w:tcPr>
        <w:tcBorders>
          <w:top w:val="single" w:color="000000" w:themeColor="accent5" w:sz="4" w:space="0"/>
        </w:tcBorders>
      </w:tcPr>
    </w:tblStylePr>
  </w:style>
  <w:style w:type="table" w:styleId="1311">
    <w:name w:val="Grid Table 4 - Accent 6"/>
    <w:basedOn w:val="1481"/>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blPr/>
      <w:tcPr>
        <w:shd w:val="clear" w:color="FFFFFF" w:fill="E2EFD8" w:themeFill="accent6" w:themeFillTint="34"/>
      </w:tcPr>
    </w:tblStylePr>
    <w:tblStylePr w:type="band1Vert">
      <w:rPr>
        <w:color w:val="404040"/>
        <w:sz w:val="22"/>
      </w:rPr>
      <w:tblPr/>
      <w:tcPr>
        <w:shd w:val="clear" w:color="FFFFFF" w:fill="E2EFD8" w:themeFill="accent6" w:themeFillTint="34"/>
      </w:tcPr>
    </w:tblStylePr>
    <w:tblStylePr w:type="firstCol">
      <w:rPr>
        <w:b/>
        <w:color w:val="404040"/>
      </w:rPr>
      <w:tblPr/>
    </w:tblStylePr>
    <w:tblStylePr w:type="firstRow">
      <w:rPr>
        <w:b/>
        <w:color w:val="FFFFFF"/>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70AD47" w:themeFill="accent6"/>
      </w:tcPr>
    </w:tblStylePr>
    <w:tblStylePr w:type="lastCol">
      <w:rPr>
        <w:b/>
        <w:color w:val="404040"/>
      </w:rPr>
      <w:tblPr/>
    </w:tblStylePr>
    <w:tblStylePr w:type="lastRow">
      <w:rPr>
        <w:b/>
        <w:color w:val="404040"/>
      </w:rPr>
      <w:tblPr/>
      <w:tcPr>
        <w:tcBorders>
          <w:top w:val="single" w:color="000000" w:themeColor="accent6" w:sz="4" w:space="0"/>
        </w:tcBorders>
      </w:tcPr>
    </w:tblStylePr>
  </w:style>
  <w:style w:type="table" w:styleId="1312">
    <w:name w:val="Grid Table 5 Dark"/>
    <w:basedOn w:val="148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color w:val="FFFFFF"/>
        <w:sz w:val="22"/>
      </w:rPr>
      <w:tblPr/>
      <w:tcPr>
        <w:shd w:val="clear" w:color="FFFFFF" w:fill="000000" w:themeFill="text1"/>
      </w:tcPr>
    </w:tblStylePr>
    <w:tblStylePr w:type="firstRow">
      <w:rPr>
        <w:b/>
        <w:color w:val="FFFFFF"/>
        <w:sz w:val="22"/>
      </w:rPr>
      <w:tblPr/>
      <w:tcPr>
        <w:shd w:val="clear" w:color="FFFFFF" w:fill="000000" w:themeFill="text1"/>
      </w:tcPr>
    </w:tblStylePr>
    <w:tblStylePr w:type="lastCol">
      <w:rPr>
        <w:b/>
        <w:color w:val="FFFFFF"/>
        <w:sz w:val="22"/>
      </w:rPr>
      <w:tblPr/>
      <w:tcPr>
        <w:shd w:val="clear" w:color="FFFFFF" w:fill="000000" w:themeFill="text1"/>
      </w:tcPr>
    </w:tblStylePr>
    <w:tblStylePr w:type="lastRow">
      <w:rPr>
        <w:b/>
        <w:color w:val="FFFFFF"/>
        <w:sz w:val="22"/>
      </w:rPr>
      <w:tblPr/>
      <w:tcPr>
        <w:tcBorders>
          <w:top w:val="single" w:color="000000" w:themeColor="light1" w:sz="4" w:space="0"/>
        </w:tcBorders>
        <w:shd w:val="clear" w:color="FFFFFF" w:fill="000000" w:themeFill="text1"/>
      </w:tcPr>
    </w:tblStylePr>
  </w:style>
  <w:style w:type="table" w:styleId="1313">
    <w:name w:val="Grid Table 5 Dark- Accent 1"/>
    <w:basedOn w:val="148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ABFE3" w:themeFill="accent1" w:themeFillTint="75"/>
      </w:tcPr>
    </w:tblStylePr>
    <w:tblStylePr w:type="band1Vert">
      <w:tblPr/>
      <w:tcPr>
        <w:shd w:val="clear" w:color="FFFFFF" w:fill="AABFE3" w:themeFill="accent1" w:themeFillTint="75"/>
      </w:tcPr>
    </w:tblStylePr>
    <w:tblStylePr w:type="firstCol">
      <w:rPr>
        <w:b/>
        <w:color w:val="FFFFFF"/>
        <w:sz w:val="22"/>
      </w:rPr>
      <w:tblPr/>
      <w:tcPr>
        <w:shd w:val="clear" w:color="FFFFFF" w:fill="4472C4" w:themeFill="accent1"/>
      </w:tcPr>
    </w:tblStylePr>
    <w:tblStylePr w:type="firstRow">
      <w:rPr>
        <w:b/>
        <w:color w:val="FFFFFF"/>
        <w:sz w:val="22"/>
      </w:rPr>
      <w:tblPr/>
      <w:tcPr>
        <w:shd w:val="clear" w:color="FFFFFF" w:fill="4472C4" w:themeFill="accent1"/>
      </w:tcPr>
    </w:tblStylePr>
    <w:tblStylePr w:type="lastCol">
      <w:rPr>
        <w:b/>
        <w:color w:val="FFFFFF"/>
        <w:sz w:val="22"/>
      </w:rPr>
      <w:tblPr/>
      <w:tcPr>
        <w:shd w:val="clear" w:color="FFFFFF" w:fill="4472C4" w:themeFill="accent1"/>
      </w:tcPr>
    </w:tblStylePr>
    <w:tblStylePr w:type="lastRow">
      <w:rPr>
        <w:b/>
        <w:color w:val="FFFFFF"/>
        <w:sz w:val="22"/>
      </w:rPr>
      <w:tblPr/>
      <w:tcPr>
        <w:tcBorders>
          <w:top w:val="single" w:color="000000" w:themeColor="light1" w:sz="4" w:space="0"/>
        </w:tcBorders>
        <w:shd w:val="clear" w:color="FFFFFF" w:fill="4472C4" w:themeFill="accent1"/>
      </w:tcPr>
    </w:tblStylePr>
  </w:style>
  <w:style w:type="table" w:styleId="1314">
    <w:name w:val="Grid Table 5 Dark - Accent 2"/>
    <w:basedOn w:val="148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6C3A1" w:themeFill="accent2" w:themeFillTint="75"/>
      </w:tcPr>
    </w:tblStylePr>
    <w:tblStylePr w:type="band1Vert">
      <w:tblPr/>
      <w:tcPr>
        <w:shd w:val="clear" w:color="FFFFFF" w:fill="F6C3A1" w:themeFill="accent2" w:themeFillTint="75"/>
      </w:tcPr>
    </w:tblStylePr>
    <w:tblStylePr w:type="firstCol">
      <w:rPr>
        <w:b/>
        <w:color w:val="FFFFFF"/>
        <w:sz w:val="22"/>
      </w:rPr>
      <w:tblPr/>
      <w:tcPr>
        <w:shd w:val="clear" w:color="FFFFFF" w:fill="ED7D31" w:themeFill="accent2"/>
      </w:tcPr>
    </w:tblStylePr>
    <w:tblStylePr w:type="firstRow">
      <w:rPr>
        <w:b/>
        <w:color w:val="FFFFFF"/>
        <w:sz w:val="22"/>
      </w:rPr>
      <w:tblPr/>
      <w:tcPr>
        <w:shd w:val="clear" w:color="FFFFFF" w:fill="ED7D31" w:themeFill="accent2"/>
      </w:tcPr>
    </w:tblStylePr>
    <w:tblStylePr w:type="lastCol">
      <w:rPr>
        <w:b/>
        <w:color w:val="FFFFFF"/>
        <w:sz w:val="22"/>
      </w:rPr>
      <w:tblPr/>
      <w:tcPr>
        <w:shd w:val="clear" w:color="FFFFFF" w:fill="ED7D31" w:themeFill="accent2"/>
      </w:tcPr>
    </w:tblStylePr>
    <w:tblStylePr w:type="lastRow">
      <w:rPr>
        <w:b/>
        <w:color w:val="FFFFFF"/>
        <w:sz w:val="22"/>
      </w:rPr>
      <w:tblPr/>
      <w:tcPr>
        <w:tcBorders>
          <w:top w:val="single" w:color="000000" w:themeColor="light1" w:sz="4" w:space="0"/>
        </w:tcBorders>
        <w:shd w:val="clear" w:color="FFFFFF" w:fill="ED7D31" w:themeFill="accent2"/>
      </w:tcPr>
    </w:tblStylePr>
  </w:style>
  <w:style w:type="table" w:styleId="1315">
    <w:name w:val="Grid Table 5 Dark - Accent 3"/>
    <w:basedOn w:val="148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6D6D6" w:themeFill="accent3" w:themeFillTint="75"/>
      </w:tcPr>
    </w:tblStylePr>
    <w:tblStylePr w:type="band1Vert">
      <w:tblPr/>
      <w:tcPr>
        <w:shd w:val="clear" w:color="FFFFFF" w:fill="D6D6D6" w:themeFill="accent3" w:themeFillTint="75"/>
      </w:tcPr>
    </w:tblStylePr>
    <w:tblStylePr w:type="firstCol">
      <w:rPr>
        <w:b/>
        <w:color w:val="FFFFFF"/>
        <w:sz w:val="22"/>
      </w:rPr>
      <w:tblPr/>
      <w:tcPr>
        <w:shd w:val="clear" w:color="FFFFFF" w:fill="A5A5A5" w:themeFill="accent3"/>
      </w:tcPr>
    </w:tblStylePr>
    <w:tblStylePr w:type="firstRow">
      <w:rPr>
        <w:b/>
        <w:color w:val="FFFFFF"/>
        <w:sz w:val="22"/>
      </w:rPr>
      <w:tblPr/>
      <w:tcPr>
        <w:shd w:val="clear" w:color="FFFFFF" w:fill="A5A5A5" w:themeFill="accent3"/>
      </w:tcPr>
    </w:tblStylePr>
    <w:tblStylePr w:type="lastCol">
      <w:rPr>
        <w:b/>
        <w:color w:val="FFFFFF"/>
        <w:sz w:val="22"/>
      </w:rPr>
      <w:tblPr/>
      <w:tcPr>
        <w:shd w:val="clear" w:color="FFFFFF" w:fill="A5A5A5" w:themeFill="accent3"/>
      </w:tcPr>
    </w:tblStylePr>
    <w:tblStylePr w:type="lastRow">
      <w:rPr>
        <w:b/>
        <w:color w:val="FFFFFF"/>
        <w:sz w:val="22"/>
      </w:rPr>
      <w:tblPr/>
      <w:tcPr>
        <w:tcBorders>
          <w:top w:val="single" w:color="000000" w:themeColor="light1" w:sz="4" w:space="0"/>
        </w:tcBorders>
        <w:shd w:val="clear" w:color="FFFFFF" w:fill="A5A5A5" w:themeFill="accent3"/>
      </w:tcPr>
    </w:tblStylePr>
  </w:style>
  <w:style w:type="table" w:styleId="1316">
    <w:name w:val="Grid Table 5 Dark- Accent 4"/>
    <w:basedOn w:val="148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EE189" w:themeFill="accent4" w:themeFillTint="75"/>
      </w:tcPr>
    </w:tblStylePr>
    <w:tblStylePr w:type="band1Vert">
      <w:tblPr/>
      <w:tcPr>
        <w:shd w:val="clear" w:color="FFFFFF" w:fill="FEE189" w:themeFill="accent4" w:themeFillTint="75"/>
      </w:tcPr>
    </w:tblStylePr>
    <w:tblStylePr w:type="firstCol">
      <w:rPr>
        <w:b/>
        <w:color w:val="FFFFFF"/>
        <w:sz w:val="22"/>
      </w:rPr>
      <w:tblPr/>
      <w:tcPr>
        <w:shd w:val="clear" w:color="FFFFFF" w:fill="FFC000" w:themeFill="accent4"/>
      </w:tcPr>
    </w:tblStylePr>
    <w:tblStylePr w:type="firstRow">
      <w:rPr>
        <w:b/>
        <w:color w:val="FFFFFF"/>
        <w:sz w:val="22"/>
      </w:rPr>
      <w:tblPr/>
      <w:tcPr>
        <w:shd w:val="clear" w:color="FFFFFF" w:fill="FFC000" w:themeFill="accent4"/>
      </w:tcPr>
    </w:tblStylePr>
    <w:tblStylePr w:type="lastCol">
      <w:rPr>
        <w:b/>
        <w:color w:val="FFFFFF"/>
        <w:sz w:val="22"/>
      </w:rPr>
      <w:tblPr/>
      <w:tcPr>
        <w:shd w:val="clear" w:color="FFFFFF" w:fill="FFC000" w:themeFill="accent4"/>
      </w:tcPr>
    </w:tblStylePr>
    <w:tblStylePr w:type="lastRow">
      <w:rPr>
        <w:b/>
        <w:color w:val="FFFFFF"/>
        <w:sz w:val="22"/>
      </w:rPr>
      <w:tblPr/>
      <w:tcPr>
        <w:tcBorders>
          <w:top w:val="single" w:color="000000" w:themeColor="light1" w:sz="4" w:space="0"/>
        </w:tcBorders>
        <w:shd w:val="clear" w:color="FFFFFF" w:fill="FFC000" w:themeFill="accent4"/>
      </w:tcPr>
    </w:tblStylePr>
  </w:style>
  <w:style w:type="table" w:styleId="1317">
    <w:name w:val="Grid Table 5 Dark - Accent 5"/>
    <w:basedOn w:val="148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4D2EB" w:themeFill="accent5" w:themeFillTint="75"/>
      </w:tcPr>
    </w:tblStylePr>
    <w:tblStylePr w:type="band1Vert">
      <w:tblPr/>
      <w:tcPr>
        <w:shd w:val="clear" w:color="FFFFFF" w:fill="B4D2EB" w:themeFill="accent5" w:themeFillTint="75"/>
      </w:tcPr>
    </w:tblStylePr>
    <w:tblStylePr w:type="firstCol">
      <w:rPr>
        <w:b/>
        <w:color w:val="FFFFFF"/>
        <w:sz w:val="22"/>
      </w:rPr>
      <w:tblPr/>
      <w:tcPr>
        <w:shd w:val="clear" w:color="FFFFFF" w:fill="5B9BD5" w:themeFill="accent5"/>
      </w:tcPr>
    </w:tblStylePr>
    <w:tblStylePr w:type="firstRow">
      <w:rPr>
        <w:b/>
        <w:color w:val="FFFFFF"/>
        <w:sz w:val="22"/>
      </w:rPr>
      <w:tblPr/>
      <w:tcPr>
        <w:shd w:val="clear" w:color="FFFFFF" w:fill="5B9BD5" w:themeFill="accent5"/>
      </w:tcPr>
    </w:tblStylePr>
    <w:tblStylePr w:type="lastCol">
      <w:rPr>
        <w:b/>
        <w:color w:val="FFFFFF"/>
        <w:sz w:val="22"/>
      </w:rPr>
      <w:tblPr/>
      <w:tcPr>
        <w:shd w:val="clear" w:color="FFFFFF" w:fill="5B9BD5" w:themeFill="accent5"/>
      </w:tcPr>
    </w:tblStylePr>
    <w:tblStylePr w:type="lastRow">
      <w:rPr>
        <w:b/>
        <w:color w:val="FFFFFF"/>
        <w:sz w:val="22"/>
      </w:rPr>
      <w:tblPr/>
      <w:tcPr>
        <w:tcBorders>
          <w:top w:val="single" w:color="000000" w:themeColor="light1" w:sz="4" w:space="0"/>
        </w:tcBorders>
        <w:shd w:val="clear" w:color="FFFFFF" w:fill="5B9BD5" w:themeFill="accent5"/>
      </w:tcPr>
    </w:tblStylePr>
  </w:style>
  <w:style w:type="table" w:styleId="1318">
    <w:name w:val="Grid Table 5 Dark - Accent 6"/>
    <w:basedOn w:val="1481"/>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EDBA8" w:themeFill="accent6" w:themeFillTint="75"/>
      </w:tcPr>
    </w:tblStylePr>
    <w:tblStylePr w:type="band1Vert">
      <w:tblPr/>
      <w:tcPr>
        <w:shd w:val="clear" w:color="FFFFFF" w:fill="BEDBA8" w:themeFill="accent6" w:themeFillTint="75"/>
      </w:tcPr>
    </w:tblStylePr>
    <w:tblStylePr w:type="firstCol">
      <w:rPr>
        <w:b/>
        <w:color w:val="FFFFFF"/>
        <w:sz w:val="22"/>
      </w:rPr>
      <w:tblPr/>
      <w:tcPr>
        <w:shd w:val="clear" w:color="FFFFFF" w:fill="70AD47" w:themeFill="accent6"/>
      </w:tcPr>
    </w:tblStylePr>
    <w:tblStylePr w:type="firstRow">
      <w:rPr>
        <w:b/>
        <w:color w:val="FFFFFF"/>
        <w:sz w:val="22"/>
      </w:rPr>
      <w:tblPr/>
      <w:tcPr>
        <w:shd w:val="clear" w:color="FFFFFF" w:fill="70AD47" w:themeFill="accent6"/>
      </w:tcPr>
    </w:tblStylePr>
    <w:tblStylePr w:type="lastCol">
      <w:rPr>
        <w:b/>
        <w:color w:val="FFFFFF"/>
        <w:sz w:val="22"/>
      </w:rPr>
      <w:tblPr/>
      <w:tcPr>
        <w:shd w:val="clear" w:color="FFFFFF" w:fill="70AD47" w:themeFill="accent6"/>
      </w:tcPr>
    </w:tblStylePr>
    <w:tblStylePr w:type="lastRow">
      <w:rPr>
        <w:b/>
        <w:color w:val="FFFFFF"/>
        <w:sz w:val="22"/>
      </w:rPr>
      <w:tblPr/>
      <w:tcPr>
        <w:tcBorders>
          <w:top w:val="single" w:color="000000" w:themeColor="light1" w:sz="4" w:space="0"/>
        </w:tcBorders>
        <w:shd w:val="clear" w:color="FFFFFF" w:fill="70AD47" w:themeFill="accent6"/>
      </w:tcPr>
    </w:tblStylePr>
  </w:style>
  <w:style w:type="table" w:styleId="1319">
    <w:name w:val="Grid Table 6 Colorful"/>
    <w:basedOn w:val="1481"/>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404040" w:themeColor="text1" w:themeTint="80" w:themeShade="95"/>
        <w:sz w:val="22"/>
      </w:rPr>
      <w:tblPr/>
    </w:tblStylePr>
    <w:tblStylePr w:type="firstCol">
      <w:rPr>
        <w:b/>
        <w:color w:val="4A4A4A" w:themeColor="text1" w:themeTint="80" w:themeShade="95"/>
      </w:rPr>
      <w:tblPr/>
    </w:tblStylePr>
    <w:tblStylePr w:type="firstRow">
      <w:rPr>
        <w:b/>
        <w:color w:val="4A4A4A" w:themeColor="text1" w:themeTint="80" w:themeShade="95"/>
      </w:rPr>
      <w:tblPr/>
      <w:tcPr>
        <w:tcBorders>
          <w:bottom w:val="single" w:color="000000" w:themeColor="text1" w:sz="12" w:space="0"/>
        </w:tcBorders>
      </w:tcPr>
    </w:tblStylePr>
    <w:tblStylePr w:type="lastCol">
      <w:rPr>
        <w:b/>
        <w:color w:val="4A4A4A" w:themeColor="text1" w:themeTint="80" w:themeShade="95"/>
      </w:rPr>
      <w:tblPr/>
    </w:tblStylePr>
    <w:tblStylePr w:type="lastRow">
      <w:rPr>
        <w:b/>
        <w:color w:val="4A4A4A" w:themeColor="text1" w:themeTint="80" w:themeShade="95"/>
      </w:rPr>
      <w:tblPr/>
    </w:tblStylePr>
    <w:tblStylePr w:type="wholeTable">
      <w:rPr>
        <w:color w:val="404040" w:themeColor="text1" w:themeTint="80" w:themeShade="95"/>
        <w:sz w:val="22"/>
      </w:rPr>
      <w:tblPr/>
    </w:tblStylePr>
  </w:style>
  <w:style w:type="table" w:styleId="1320">
    <w:name w:val="Grid Table 6 Colorful - Accent 1"/>
    <w:basedOn w:val="1481"/>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blPr/>
      <w:tcPr>
        <w:shd w:val="clear" w:color="FFFFFF" w:fill="D9E2F2" w:themeFill="accent1" w:themeFillTint="34"/>
      </w:tcPr>
    </w:tblStylePr>
    <w:tblStylePr w:type="band1Vert">
      <w:tblPr/>
      <w:tcPr>
        <w:shd w:val="clear" w:color="FFFFFF" w:fill="D9E2F2" w:themeFill="accent1" w:themeFillTint="34"/>
      </w:tcPr>
    </w:tblStylePr>
    <w:tblStylePr w:type="band2Horz">
      <w:rPr>
        <w:color w:val="404040" w:themeColor="accent1" w:themeTint="80" w:themeShade="95"/>
        <w:sz w:val="22"/>
      </w:rPr>
      <w:tblPr/>
    </w:tblStylePr>
    <w:tblStylePr w:type="firstCol">
      <w:rPr>
        <w:b/>
        <w:color w:val="3664A9" w:themeColor="accent1" w:themeTint="80" w:themeShade="95"/>
      </w:rPr>
      <w:tblPr/>
    </w:tblStylePr>
    <w:tblStylePr w:type="firstRow">
      <w:rPr>
        <w:b/>
        <w:color w:val="3664A9" w:themeColor="accent1" w:themeTint="80" w:themeShade="95"/>
      </w:rPr>
      <w:tblPr/>
      <w:tcPr>
        <w:tcBorders>
          <w:bottom w:val="single" w:color="000000" w:themeColor="accent1" w:sz="12" w:space="0"/>
        </w:tcBorders>
      </w:tcPr>
    </w:tblStylePr>
    <w:tblStylePr w:type="lastCol">
      <w:rPr>
        <w:b/>
        <w:color w:val="3664A9" w:themeColor="accent1" w:themeTint="80" w:themeShade="95"/>
      </w:rPr>
      <w:tblPr/>
    </w:tblStylePr>
    <w:tblStylePr w:type="lastRow">
      <w:rPr>
        <w:b/>
        <w:color w:val="3664A9" w:themeColor="accent1" w:themeTint="80" w:themeShade="95"/>
      </w:rPr>
      <w:tblPr/>
    </w:tblStylePr>
    <w:tblStylePr w:type="wholeTable">
      <w:rPr>
        <w:color w:val="404040" w:themeColor="accent1" w:themeTint="80" w:themeShade="95"/>
        <w:sz w:val="22"/>
      </w:rPr>
      <w:tblPr/>
    </w:tblStylePr>
  </w:style>
  <w:style w:type="table" w:styleId="1321">
    <w:name w:val="Grid Table 6 Colorful - Accent 2"/>
    <w:basedOn w:val="1481"/>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blPr/>
      <w:tcPr>
        <w:shd w:val="clear" w:color="FFFFFF" w:fill="FBE5D6" w:themeFill="accent2" w:themeFillTint="32"/>
      </w:tcPr>
    </w:tblStylePr>
    <w:tblStylePr w:type="band1Vert">
      <w:tblPr/>
      <w:tcPr>
        <w:shd w:val="clear" w:color="FFFFFF" w:fill="FBE5D6" w:themeFill="accent2" w:themeFillTint="32"/>
      </w:tcPr>
    </w:tblStylePr>
    <w:tblStylePr w:type="band2Horz">
      <w:rPr>
        <w:color w:val="404040" w:themeColor="accent2" w:themeTint="97" w:themeShade="95"/>
        <w:sz w:val="22"/>
      </w:rPr>
      <w:tblPr/>
    </w:tblStylePr>
    <w:tblStylePr w:type="firstCol">
      <w:rPr>
        <w:b/>
        <w:color w:val="C95712" w:themeColor="accent2" w:themeTint="97" w:themeShade="95"/>
      </w:rPr>
      <w:tblPr/>
    </w:tblStylePr>
    <w:tblStylePr w:type="firstRow">
      <w:rPr>
        <w:b/>
        <w:color w:val="C95712" w:themeColor="accent2" w:themeTint="97" w:themeShade="95"/>
      </w:rPr>
      <w:tblPr/>
      <w:tcPr>
        <w:tcBorders>
          <w:bottom w:val="single" w:color="000000" w:themeColor="accent2" w:sz="12" w:space="0"/>
        </w:tcBorders>
      </w:tcPr>
    </w:tblStylePr>
    <w:tblStylePr w:type="lastCol">
      <w:rPr>
        <w:b/>
        <w:color w:val="C95712" w:themeColor="accent2" w:themeTint="97" w:themeShade="95"/>
      </w:rPr>
      <w:tblPr/>
    </w:tblStylePr>
    <w:tblStylePr w:type="lastRow">
      <w:rPr>
        <w:b/>
        <w:color w:val="C95712" w:themeColor="accent2" w:themeTint="97" w:themeShade="95"/>
      </w:rPr>
      <w:tblPr/>
    </w:tblStylePr>
    <w:tblStylePr w:type="wholeTable">
      <w:rPr>
        <w:color w:val="404040" w:themeColor="accent2" w:themeTint="97" w:themeShade="95"/>
        <w:sz w:val="22"/>
      </w:rPr>
      <w:tblPr/>
    </w:tblStylePr>
  </w:style>
  <w:style w:type="table" w:styleId="1322">
    <w:name w:val="Grid Table 6 Colorful - Accent 3"/>
    <w:basedOn w:val="1481"/>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val="404040" w:themeColor="accent3" w:themeTint="fe" w:themeShade="95"/>
        <w:sz w:val="22"/>
      </w:rPr>
      <w:tblPr/>
    </w:tblStylePr>
    <w:tblStylePr w:type="firstCol">
      <w:rPr>
        <w:b/>
        <w:color w:val="606060" w:themeColor="accent3" w:themeTint="fe" w:themeShade="95"/>
      </w:rPr>
      <w:tblPr/>
    </w:tblStylePr>
    <w:tblStylePr w:type="firstRow">
      <w:rPr>
        <w:b/>
        <w:color w:val="606060" w:themeColor="accent3" w:themeTint="fe" w:themeShade="95"/>
      </w:rPr>
      <w:tblPr/>
      <w:tcPr>
        <w:tcBorders>
          <w:bottom w:val="single" w:color="000000" w:themeColor="accent3" w:sz="12" w:space="0"/>
        </w:tcBorders>
      </w:tcPr>
    </w:tblStylePr>
    <w:tblStylePr w:type="lastCol">
      <w:rPr>
        <w:b/>
        <w:color w:val="606060" w:themeColor="accent3" w:themeTint="fe" w:themeShade="95"/>
      </w:rPr>
      <w:tblPr/>
    </w:tblStylePr>
    <w:tblStylePr w:type="lastRow">
      <w:rPr>
        <w:b/>
        <w:color w:val="606060" w:themeColor="accent3" w:themeTint="fe" w:themeShade="95"/>
      </w:rPr>
      <w:tblPr/>
    </w:tblStylePr>
    <w:tblStylePr w:type="wholeTable">
      <w:rPr>
        <w:color w:val="404040" w:themeColor="accent3" w:themeTint="fe" w:themeShade="95"/>
        <w:sz w:val="22"/>
      </w:rPr>
      <w:tblPr/>
    </w:tblStylePr>
  </w:style>
  <w:style w:type="table" w:styleId="1323">
    <w:name w:val="Grid Table 6 Colorful - Accent 4"/>
    <w:basedOn w:val="1481"/>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blPr/>
      <w:tcPr>
        <w:shd w:val="clear" w:color="FFFFFF" w:fill="FEF2CB" w:themeFill="accent4" w:themeFillTint="34"/>
      </w:tcPr>
    </w:tblStylePr>
    <w:tblStylePr w:type="band1Vert">
      <w:tblPr/>
      <w:tcPr>
        <w:shd w:val="clear" w:color="FFFFFF" w:fill="FEF2CB" w:themeFill="accent4" w:themeFillTint="34"/>
      </w:tcPr>
    </w:tblStylePr>
    <w:tblStylePr w:type="band2Horz">
      <w:rPr>
        <w:color w:val="404040" w:themeColor="accent4" w:themeTint="9a" w:themeShade="95"/>
        <w:sz w:val="22"/>
      </w:rPr>
      <w:tblPr/>
    </w:tblStylePr>
    <w:tblStylePr w:type="firstCol">
      <w:rPr>
        <w:b/>
        <w:color w:val="CD9600" w:themeColor="accent4" w:themeTint="9a" w:themeShade="95"/>
      </w:rPr>
      <w:tblPr/>
    </w:tblStylePr>
    <w:tblStylePr w:type="firstRow">
      <w:rPr>
        <w:b/>
        <w:color w:val="CD9600" w:themeColor="accent4" w:themeTint="9a" w:themeShade="95"/>
      </w:rPr>
      <w:tblPr/>
      <w:tcPr>
        <w:tcBorders>
          <w:bottom w:val="single" w:color="000000" w:themeColor="accent4" w:sz="12" w:space="0"/>
        </w:tcBorders>
      </w:tcPr>
    </w:tblStylePr>
    <w:tblStylePr w:type="lastCol">
      <w:rPr>
        <w:b/>
        <w:color w:val="CD9600" w:themeColor="accent4" w:themeTint="9a" w:themeShade="95"/>
      </w:rPr>
      <w:tblPr/>
    </w:tblStylePr>
    <w:tblStylePr w:type="lastRow">
      <w:rPr>
        <w:b/>
        <w:color w:val="CD9600" w:themeColor="accent4" w:themeTint="9a" w:themeShade="95"/>
      </w:rPr>
      <w:tblPr/>
    </w:tblStylePr>
    <w:tblStylePr w:type="wholeTable">
      <w:rPr>
        <w:color w:val="404040" w:themeColor="accent4" w:themeTint="9a" w:themeShade="95"/>
        <w:sz w:val="22"/>
      </w:rPr>
      <w:tblPr/>
    </w:tblStylePr>
  </w:style>
  <w:style w:type="table" w:styleId="1324">
    <w:name w:val="Grid Table 6 Colorful - Accent 5"/>
    <w:basedOn w:val="1481"/>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blPr/>
      <w:tcPr>
        <w:shd w:val="clear" w:color="FFFFFF" w:fill="DDEBF6" w:themeFill="accent5" w:themeFillTint="34"/>
      </w:tcPr>
    </w:tblStylePr>
    <w:tblStylePr w:type="band1Vert">
      <w:tblPr/>
      <w:tcPr>
        <w:shd w:val="clear" w:color="FFFFFF" w:fill="DDEBF6" w:themeFill="accent5" w:themeFillTint="34"/>
      </w:tcPr>
    </w:tblStylePr>
    <w:tblStylePr w:type="band2Horz">
      <w:rPr>
        <w:color w:val="404040" w:themeColor="accent5" w:themeShade="95"/>
        <w:sz w:val="22"/>
      </w:rPr>
      <w:tblPr/>
    </w:tblStylePr>
    <w:tblStylePr w:type="firstCol">
      <w:rPr>
        <w:b/>
        <w:color w:val="245D8D" w:themeColor="accent5" w:themeShade="95"/>
      </w:rPr>
      <w:tblPr/>
    </w:tblStylePr>
    <w:tblStylePr w:type="firstRow">
      <w:rPr>
        <w:b/>
        <w:color w:val="245D8D" w:themeColor="accent5" w:themeShade="95"/>
      </w:rPr>
      <w:tblPr/>
      <w:tcPr>
        <w:tcBorders>
          <w:bottom w:val="single" w:color="000000" w:themeColor="accent5" w:sz="12" w:space="0"/>
        </w:tcBorders>
      </w:tcPr>
    </w:tblStylePr>
    <w:tblStylePr w:type="lastCol">
      <w:rPr>
        <w:b/>
        <w:color w:val="245D8D" w:themeColor="accent5" w:themeShade="95"/>
      </w:rPr>
      <w:tblPr/>
    </w:tblStylePr>
    <w:tblStylePr w:type="lastRow">
      <w:rPr>
        <w:b/>
        <w:color w:val="245D8D" w:themeColor="accent5" w:themeShade="95"/>
      </w:rPr>
      <w:tblPr/>
    </w:tblStylePr>
    <w:tblStylePr w:type="wholeTable">
      <w:rPr>
        <w:color w:val="404040" w:themeColor="accent5" w:themeShade="95"/>
        <w:sz w:val="22"/>
      </w:rPr>
      <w:tblPr/>
    </w:tblStylePr>
  </w:style>
  <w:style w:type="table" w:styleId="1325">
    <w:name w:val="Grid Table 6 Colorful - Accent 6"/>
    <w:basedOn w:val="1481"/>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blPr/>
      <w:tcPr>
        <w:shd w:val="clear" w:color="FFFFFF" w:fill="E2EFD8" w:themeFill="accent6" w:themeFillTint="34"/>
      </w:tcPr>
    </w:tblStylePr>
    <w:tblStylePr w:type="band1Vert">
      <w:tblPr/>
      <w:tcPr>
        <w:shd w:val="clear" w:color="FFFFFF" w:fill="E2EFD8" w:themeFill="accent6" w:themeFillTint="34"/>
      </w:tcPr>
    </w:tblStylePr>
    <w:tblStylePr w:type="band2Horz">
      <w:rPr>
        <w:color w:val="404040" w:themeColor="accent5" w:themeShade="95"/>
        <w:sz w:val="22"/>
      </w:rPr>
      <w:tblPr/>
    </w:tblStylePr>
    <w:tblStylePr w:type="firstCol">
      <w:rPr>
        <w:b/>
        <w:color w:val="245D8D" w:themeColor="accent5" w:themeShade="95"/>
      </w:rPr>
      <w:tblPr/>
    </w:tblStylePr>
    <w:tblStylePr w:type="firstRow">
      <w:rPr>
        <w:b/>
        <w:color w:val="245D8D" w:themeColor="accent5" w:themeShade="95"/>
      </w:rPr>
      <w:tblPr/>
      <w:tcPr>
        <w:tcBorders>
          <w:bottom w:val="single" w:color="000000" w:themeColor="accent6" w:sz="12" w:space="0"/>
        </w:tcBorders>
      </w:tcPr>
    </w:tblStylePr>
    <w:tblStylePr w:type="lastCol">
      <w:rPr>
        <w:b/>
        <w:color w:val="245D8D" w:themeColor="accent5" w:themeShade="95"/>
      </w:rPr>
      <w:tblPr/>
    </w:tblStylePr>
    <w:tblStylePr w:type="lastRow">
      <w:rPr>
        <w:b/>
        <w:color w:val="245D8D" w:themeColor="accent5" w:themeShade="95"/>
      </w:rPr>
      <w:tblPr/>
    </w:tblStylePr>
    <w:tblStylePr w:type="wholeTable">
      <w:rPr>
        <w:color w:val="404040" w:themeColor="accent5" w:themeShade="95"/>
        <w:sz w:val="22"/>
      </w:rPr>
      <w:tblPr/>
    </w:tblStylePr>
  </w:style>
  <w:style w:type="table" w:styleId="1326">
    <w:name w:val="Grid Table 7 Colorful"/>
    <w:basedOn w:val="1481"/>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b/>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b/>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style>
  <w:style w:type="table" w:styleId="1327">
    <w:name w:val="Grid Table 7 Colorful - Accent 1"/>
    <w:basedOn w:val="1481"/>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664A9" w:themeColor="accent1" w:themeTint="80" w:themeShade="95"/>
        <w:sz w:val="22"/>
      </w:rPr>
      <w:tblPr/>
      <w:tcPr>
        <w:shd w:val="clear" w:color="FFFFFF" w:fill="D9E2F2" w:themeFill="accent1" w:themeFillTint="34"/>
      </w:tcPr>
    </w:tblStylePr>
    <w:tblStylePr w:type="band1Vert">
      <w:tblPr/>
      <w:tcPr>
        <w:shd w:val="clear" w:color="FFFFFF" w:fill="D9E2F2" w:themeFill="accent1" w:themeFillTint="34"/>
      </w:tcPr>
    </w:tblStylePr>
    <w:tblStylePr w:type="band2Horz">
      <w:rPr>
        <w:color w:val="3664A9" w:themeColor="accent1" w:themeTint="80" w:themeShade="95"/>
        <w:sz w:val="22"/>
      </w:rPr>
      <w:tblPr/>
    </w:tblStylePr>
    <w:tblStylePr w:type="firstCol">
      <w:pPr>
        <w:jc w:val="right"/>
      </w:pPr>
      <w:rPr>
        <w:i/>
        <w:color w:val="3664A9" w:themeColor="accent1" w:themeTint="80"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b/>
        <w:color w:val="3664A9" w:themeColor="accent1" w:themeTint="80"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val="3664A9" w:themeColor="accent1" w:themeTint="80"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b/>
        <w:color w:val="3664A9" w:themeColor="accent1" w:themeTint="80"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style>
  <w:style w:type="table" w:styleId="1328">
    <w:name w:val="Grid Table 7 Colorful - Accent 2"/>
    <w:basedOn w:val="1481"/>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C95712" w:themeColor="accent2" w:themeTint="97" w:themeShade="95"/>
        <w:sz w:val="22"/>
      </w:rPr>
      <w:tblPr/>
      <w:tcPr>
        <w:shd w:val="clear" w:color="FFFFFF" w:fill="FBE5D6" w:themeFill="accent2" w:themeFillTint="32"/>
      </w:tcPr>
    </w:tblStylePr>
    <w:tblStylePr w:type="band1Vert">
      <w:tblPr/>
      <w:tcPr>
        <w:shd w:val="clear" w:color="FFFFFF" w:fill="FBE5D6" w:themeFill="accent2" w:themeFillTint="32"/>
      </w:tcPr>
    </w:tblStylePr>
    <w:tblStylePr w:type="band2Horz">
      <w:rPr>
        <w:color w:val="C95712" w:themeColor="accent2" w:themeTint="97" w:themeShade="95"/>
        <w:sz w:val="22"/>
      </w:rPr>
      <w:tblPr/>
    </w:tblStylePr>
    <w:tblStylePr w:type="firstCol">
      <w:pPr>
        <w:jc w:val="right"/>
      </w:pPr>
      <w:rPr>
        <w:i/>
        <w:color w:val="C95712"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b/>
        <w:color w:val="C95712"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val="C95712"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b/>
        <w:color w:val="C95712"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style>
  <w:style w:type="table" w:styleId="1329">
    <w:name w:val="Grid Table 7 Colorful - Accent 3"/>
    <w:basedOn w:val="1481"/>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606060"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val="606060" w:themeColor="accent3" w:themeTint="fe" w:themeShade="95"/>
        <w:sz w:val="22"/>
      </w:rPr>
      <w:tblPr/>
    </w:tblStylePr>
    <w:tblStylePr w:type="firstCol">
      <w:pPr>
        <w:jc w:val="right"/>
      </w:pPr>
      <w:rPr>
        <w:i/>
        <w:color w:val="606060" w:themeColor="accent3" w:themeTint="fe"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b/>
        <w:color w:val="606060" w:themeColor="accent3" w:themeTint="fe"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val="606060" w:themeColor="accent3" w:themeTint="fe"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b/>
        <w:color w:val="606060" w:themeColor="accent3" w:themeTint="fe"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style>
  <w:style w:type="table" w:styleId="1330">
    <w:name w:val="Grid Table 7 Colorful - Accent 4"/>
    <w:basedOn w:val="1481"/>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CD9600" w:themeColor="accent4" w:themeTint="9a" w:themeShade="95"/>
        <w:sz w:val="22"/>
      </w:rPr>
      <w:tblPr/>
      <w:tcPr>
        <w:shd w:val="clear" w:color="FFFFFF" w:fill="FEF2CB" w:themeFill="accent4" w:themeFillTint="34"/>
      </w:tcPr>
    </w:tblStylePr>
    <w:tblStylePr w:type="band1Vert">
      <w:tblPr/>
      <w:tcPr>
        <w:shd w:val="clear" w:color="FFFFFF" w:fill="FEF2CB" w:themeFill="accent4" w:themeFillTint="34"/>
      </w:tcPr>
    </w:tblStylePr>
    <w:tblStylePr w:type="band2Horz">
      <w:rPr>
        <w:color w:val="CD9600" w:themeColor="accent4" w:themeTint="9a" w:themeShade="95"/>
        <w:sz w:val="22"/>
      </w:rPr>
      <w:tblPr/>
    </w:tblStylePr>
    <w:tblStylePr w:type="firstCol">
      <w:pPr>
        <w:jc w:val="right"/>
      </w:pPr>
      <w:rPr>
        <w:i/>
        <w:color w:val="CD9600"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b/>
        <w:color w:val="CD9600"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val="CD9600"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b/>
        <w:color w:val="CD9600"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style>
  <w:style w:type="table" w:styleId="1331">
    <w:name w:val="Grid Table 7 Colorful - Accent 5"/>
    <w:basedOn w:val="1481"/>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45D8D" w:themeColor="accent5" w:themeShade="95"/>
        <w:sz w:val="22"/>
      </w:rPr>
      <w:tblPr/>
      <w:tcPr>
        <w:shd w:val="clear" w:color="FFFFFF" w:fill="DDEBF6" w:themeFill="accent5" w:themeFillTint="34"/>
      </w:tcPr>
    </w:tblStylePr>
    <w:tblStylePr w:type="band1Vert">
      <w:tblPr/>
      <w:tcPr>
        <w:shd w:val="clear" w:color="FFFFFF" w:fill="DDEBF6" w:themeFill="accent5" w:themeFillTint="34"/>
      </w:tcPr>
    </w:tblStylePr>
    <w:tblStylePr w:type="band2Horz">
      <w:rPr>
        <w:color w:val="245D8D" w:themeColor="accent5" w:themeShade="95"/>
        <w:sz w:val="22"/>
      </w:rPr>
      <w:tblPr/>
    </w:tblStylePr>
    <w:tblStylePr w:type="firstCol">
      <w:pPr>
        <w:jc w:val="right"/>
      </w:pPr>
      <w:rPr>
        <w:i/>
        <w:color w:val="245D8D" w:themeColor="accent5"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b/>
        <w:color w:val="245D8D" w:themeColor="accent5"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val="245D8D" w:themeColor="accent5"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b/>
        <w:color w:val="245D8D" w:themeColor="accent5"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style>
  <w:style w:type="table" w:styleId="1332">
    <w:name w:val="Grid Table 7 Colorful - Accent 6"/>
    <w:basedOn w:val="1481"/>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26429" w:themeColor="accent6" w:themeShade="95"/>
        <w:sz w:val="22"/>
      </w:rPr>
      <w:tblPr/>
      <w:tcPr>
        <w:shd w:val="clear" w:color="FFFFFF" w:fill="E2EFD8" w:themeFill="accent6" w:themeFillTint="34"/>
      </w:tcPr>
    </w:tblStylePr>
    <w:tblStylePr w:type="band1Vert">
      <w:tblPr/>
      <w:tcPr>
        <w:shd w:val="clear" w:color="FFFFFF" w:fill="E2EFD8" w:themeFill="accent6" w:themeFillTint="34"/>
      </w:tcPr>
    </w:tblStylePr>
    <w:tblStylePr w:type="band2Horz">
      <w:rPr>
        <w:color w:val="426429" w:themeColor="accent6" w:themeShade="95"/>
        <w:sz w:val="22"/>
      </w:rPr>
      <w:tblPr/>
    </w:tblStylePr>
    <w:tblStylePr w:type="firstCol">
      <w:pPr>
        <w:jc w:val="right"/>
      </w:pPr>
      <w:rPr>
        <w:i/>
        <w:color w:val="426429" w:themeColor="accent6"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b/>
        <w:color w:val="426429" w:themeColor="accent6"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val="426429" w:themeColor="accent6"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b/>
        <w:color w:val="426429" w:themeColor="accent6"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style>
  <w:style w:type="table" w:styleId="1333">
    <w:name w:val="List Table 1 Light"/>
    <w:basedOn w:val="1481"/>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styleId="1334">
    <w:name w:val="List Table 1 Light - Accent 1"/>
    <w:basedOn w:val="1481"/>
    <w:uiPriority w:val="99"/>
    <w:pPr>
      <w:spacing w:after="0" w:line="240" w:lineRule="auto"/>
    </w:pPr>
    <w:tblPr>
      <w:tblStyleRowBandSize w:val="1"/>
      <w:tblStyleColBandSize w:val="1"/>
    </w:tblPr>
    <w:tblStylePr w:type="band1Horz">
      <w:tblPr/>
      <w:tcPr>
        <w:shd w:val="clear" w:color="FFFFFF" w:fill="CFDCF0" w:themeFill="accent1" w:themeFillTint="40"/>
      </w:tcPr>
    </w:tblStylePr>
    <w:tblStylePr w:type="band1Vert">
      <w:tblPr/>
      <w:tcPr>
        <w:shd w:val="clear" w:color="FFFFFF" w:fill="CFDCF0"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tcPr>
    </w:tblStylePr>
  </w:style>
  <w:style w:type="table" w:styleId="1335">
    <w:name w:val="List Table 1 Light - Accent 2"/>
    <w:basedOn w:val="1481"/>
    <w:uiPriority w:val="99"/>
    <w:pPr>
      <w:spacing w:after="0" w:line="240" w:lineRule="auto"/>
    </w:pPr>
    <w:tblPr>
      <w:tblStyleRowBandSize w:val="1"/>
      <w:tblStyleColBandSize w:val="1"/>
    </w:tblPr>
    <w:tblStylePr w:type="band1Horz">
      <w:tblPr/>
      <w:tcPr>
        <w:shd w:val="clear" w:color="FFFFFF" w:fill="FADECB" w:themeFill="accent2" w:themeFillTint="40"/>
      </w:tcPr>
    </w:tblStylePr>
    <w:tblStylePr w:type="band1Vert">
      <w:tblPr/>
      <w:tcPr>
        <w:shd w:val="clear" w:color="FFFFFF" w:fill="FADECB"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tcPr>
    </w:tblStylePr>
  </w:style>
  <w:style w:type="table" w:styleId="1336">
    <w:name w:val="List Table 1 Light - Accent 3"/>
    <w:basedOn w:val="1481"/>
    <w:uiPriority w:val="99"/>
    <w:pPr>
      <w:spacing w:after="0" w:line="240" w:lineRule="auto"/>
    </w:pPr>
    <w:tblPr>
      <w:tblStyleRowBandSize w:val="1"/>
      <w:tblStyleColBandSize w:val="1"/>
    </w:tblPr>
    <w:tblStylePr w:type="band1Horz">
      <w:tblPr/>
      <w:tcPr>
        <w:shd w:val="clear" w:color="FFFFFF" w:fill="E8E8E8" w:themeFill="accent3" w:themeFillTint="40"/>
      </w:tcPr>
    </w:tblStylePr>
    <w:tblStylePr w:type="band1Vert">
      <w:tblPr/>
      <w:tcPr>
        <w:shd w:val="clear" w:color="FFFFFF" w:fill="E8E8E8"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tcPr>
    </w:tblStylePr>
  </w:style>
  <w:style w:type="table" w:styleId="1337">
    <w:name w:val="List Table 1 Light - Accent 4"/>
    <w:basedOn w:val="1481"/>
    <w:uiPriority w:val="99"/>
    <w:pPr>
      <w:spacing w:after="0" w:line="240" w:lineRule="auto"/>
    </w:pPr>
    <w:tblPr>
      <w:tblStyleRowBandSize w:val="1"/>
      <w:tblStyleColBandSize w:val="1"/>
    </w:tblPr>
    <w:tblStylePr w:type="band1Horz">
      <w:tblPr/>
      <w:tcPr>
        <w:shd w:val="clear" w:color="FFFFFF" w:fill="FFEFBF" w:themeFill="accent4" w:themeFillTint="40"/>
      </w:tcPr>
    </w:tblStylePr>
    <w:tblStylePr w:type="band1Vert">
      <w:tblPr/>
      <w:tcPr>
        <w:shd w:val="clear" w:color="FFFFFF" w:fill="FFEFBF"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tcPr>
    </w:tblStylePr>
  </w:style>
  <w:style w:type="table" w:styleId="1338">
    <w:name w:val="List Table 1 Light - Accent 5"/>
    <w:basedOn w:val="1481"/>
    <w:uiPriority w:val="99"/>
    <w:pPr>
      <w:spacing w:after="0" w:line="240" w:lineRule="auto"/>
    </w:pPr>
    <w:tblPr>
      <w:tblStyleRowBandSize w:val="1"/>
      <w:tblStyleColBandSize w:val="1"/>
    </w:tblPr>
    <w:tblStylePr w:type="band1Horz">
      <w:tblPr/>
      <w:tcPr>
        <w:shd w:val="clear" w:color="FFFFFF" w:fill="D5E6F4" w:themeFill="accent5" w:themeFillTint="40"/>
      </w:tcPr>
    </w:tblStylePr>
    <w:tblStylePr w:type="band1Vert">
      <w:tblPr/>
      <w:tcPr>
        <w:shd w:val="clear" w:color="FFFFFF" w:fill="D5E6F4"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tcPr>
    </w:tblStylePr>
  </w:style>
  <w:style w:type="table" w:styleId="1339">
    <w:name w:val="List Table 1 Light - Accent 6"/>
    <w:basedOn w:val="1481"/>
    <w:uiPriority w:val="99"/>
    <w:pPr>
      <w:spacing w:after="0" w:line="240" w:lineRule="auto"/>
    </w:pPr>
    <w:tblPr>
      <w:tblStyleRowBandSize w:val="1"/>
      <w:tblStyleColBandSize w:val="1"/>
    </w:tblPr>
    <w:tblStylePr w:type="band1Horz">
      <w:tblPr/>
      <w:tcPr>
        <w:shd w:val="clear" w:color="FFFFFF" w:fill="DBEBD0" w:themeFill="accent6" w:themeFillTint="40"/>
      </w:tcPr>
    </w:tblStylePr>
    <w:tblStylePr w:type="band1Vert">
      <w:tblPr/>
      <w:tcPr>
        <w:shd w:val="clear" w:color="FFFFFF" w:fill="DBEBD0"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tcPr>
    </w:tblStylePr>
  </w:style>
  <w:style w:type="table" w:styleId="1340">
    <w:name w:val="List Table 2"/>
    <w:basedOn w:val="1481"/>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sz w:val="22"/>
      </w:rPr>
      <w:tblPr/>
    </w:tblStyle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1341">
    <w:name w:val="List Table 2 - Accent 1"/>
    <w:basedOn w:val="1481"/>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blPr/>
      <w:tcPr>
        <w:shd w:val="clear" w:color="FFFFFF" w:fill="CFDCF0" w:themeFill="accent1" w:themeFillTint="40"/>
      </w:tcPr>
    </w:tblStylePr>
    <w:tblStylePr w:type="band1Vert">
      <w:rPr>
        <w:color w:val="404040"/>
        <w:sz w:val="22"/>
      </w:rPr>
      <w:tblPr/>
      <w:tcPr>
        <w:shd w:val="clear" w:color="FFFFFF" w:fill="CFDCF0" w:themeFill="accent1" w:themeFillTint="40"/>
      </w:tcPr>
    </w:tblStylePr>
    <w:tblStylePr w:type="firstCol">
      <w:rPr>
        <w:b/>
        <w:color w:val="404040"/>
        <w:sz w:val="22"/>
      </w:rPr>
      <w:tblPr/>
    </w:tblStylePr>
    <w:tblStylePr w:type="fir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1342">
    <w:name w:val="List Table 2 - Accent 2"/>
    <w:basedOn w:val="1481"/>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blPr/>
      <w:tcPr>
        <w:shd w:val="clear" w:color="FFFFFF" w:fill="FADECB" w:themeFill="accent2" w:themeFillTint="40"/>
      </w:tcPr>
    </w:tblStylePr>
    <w:tblStylePr w:type="band1Vert">
      <w:rPr>
        <w:color w:val="404040"/>
        <w:sz w:val="22"/>
      </w:rPr>
      <w:tblPr/>
      <w:tcPr>
        <w:shd w:val="clear" w:color="FFFFFF" w:fill="FADECB" w:themeFill="accent2" w:themeFillTint="40"/>
      </w:tcPr>
    </w:tblStylePr>
    <w:tblStylePr w:type="firstCol">
      <w:rPr>
        <w:b/>
        <w:color w:val="404040"/>
        <w:sz w:val="22"/>
      </w:rPr>
      <w:tblPr/>
    </w:tblStylePr>
    <w:tblStylePr w:type="fir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1343">
    <w:name w:val="List Table 2 - Accent 3"/>
    <w:basedOn w:val="1481"/>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8E8E8" w:themeFill="accent3" w:themeFillTint="40"/>
      </w:tcPr>
    </w:tblStylePr>
    <w:tblStylePr w:type="band1Vert">
      <w:rPr>
        <w:color w:val="404040"/>
        <w:sz w:val="22"/>
      </w:rPr>
      <w:tblPr/>
      <w:tcPr>
        <w:shd w:val="clear" w:color="FFFFFF" w:fill="E8E8E8" w:themeFill="accent3" w:themeFillTint="40"/>
      </w:tcPr>
    </w:tblStylePr>
    <w:tblStylePr w:type="firstCol">
      <w:rPr>
        <w:b/>
        <w:color w:val="404040"/>
        <w:sz w:val="22"/>
      </w:rPr>
      <w:tblPr/>
    </w:tblStylePr>
    <w:tblStylePr w:type="fir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1344">
    <w:name w:val="List Table 2 - Accent 4"/>
    <w:basedOn w:val="1481"/>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blPr/>
      <w:tcPr>
        <w:shd w:val="clear" w:color="FFFFFF" w:fill="FFEFBF" w:themeFill="accent4" w:themeFillTint="40"/>
      </w:tcPr>
    </w:tblStylePr>
    <w:tblStylePr w:type="band1Vert">
      <w:rPr>
        <w:color w:val="404040"/>
        <w:sz w:val="22"/>
      </w:rPr>
      <w:tblPr/>
      <w:tcPr>
        <w:shd w:val="clear" w:color="FFFFFF" w:fill="FFEFBF" w:themeFill="accent4" w:themeFillTint="40"/>
      </w:tcPr>
    </w:tblStylePr>
    <w:tblStylePr w:type="firstCol">
      <w:rPr>
        <w:b/>
        <w:color w:val="404040"/>
        <w:sz w:val="22"/>
      </w:rPr>
      <w:tblPr/>
    </w:tblStylePr>
    <w:tblStylePr w:type="fir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1345">
    <w:name w:val="List Table 2 - Accent 5"/>
    <w:basedOn w:val="1481"/>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5E6F4" w:themeFill="accent5" w:themeFillTint="40"/>
      </w:tcPr>
    </w:tblStylePr>
    <w:tblStylePr w:type="band1Vert">
      <w:rPr>
        <w:color w:val="404040"/>
        <w:sz w:val="22"/>
      </w:rPr>
      <w:tblPr/>
      <w:tcPr>
        <w:shd w:val="clear" w:color="FFFFFF" w:fill="D5E6F4" w:themeFill="accent5" w:themeFillTint="40"/>
      </w:tcPr>
    </w:tblStylePr>
    <w:tblStylePr w:type="firstCol">
      <w:rPr>
        <w:b/>
        <w:color w:val="404040"/>
        <w:sz w:val="22"/>
      </w:rPr>
      <w:tblPr/>
    </w:tblStylePr>
    <w:tblStylePr w:type="fir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1346">
    <w:name w:val="List Table 2 - Accent 6"/>
    <w:basedOn w:val="1481"/>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blPr/>
      <w:tcPr>
        <w:shd w:val="clear" w:color="FFFFFF" w:fill="DBEBD0" w:themeFill="accent6" w:themeFillTint="40"/>
      </w:tcPr>
    </w:tblStylePr>
    <w:tblStylePr w:type="band1Vert">
      <w:rPr>
        <w:color w:val="404040"/>
        <w:sz w:val="22"/>
      </w:rPr>
      <w:tblPr/>
      <w:tcPr>
        <w:shd w:val="clear" w:color="FFFFFF" w:fill="DBEBD0" w:themeFill="accent6" w:themeFillTint="40"/>
      </w:tcPr>
    </w:tblStylePr>
    <w:tblStylePr w:type="firstCol">
      <w:rPr>
        <w:b/>
        <w:color w:val="404040"/>
        <w:sz w:val="22"/>
      </w:rPr>
      <w:tblPr/>
    </w:tblStylePr>
    <w:tblStylePr w:type="fir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1347">
    <w:name w:val="List Table 3"/>
    <w:basedOn w:val="148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348">
    <w:name w:val="List Table 3 - Accent 1"/>
    <w:basedOn w:val="1481"/>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blPr/>
      <w:tcPr>
        <w:tcBorders>
          <w:top w:val="single" w:color="000000" w:themeColor="accent1" w:sz="4" w:space="0"/>
          <w:bottom w:val="single" w:color="000000" w:themeColor="accent1" w:sz="4" w:space="0"/>
        </w:tcBorders>
      </w:tcPr>
    </w:tblStylePr>
    <w:tblStylePr w:type="band1Vert">
      <w:rPr>
        <w:color w:val="404040"/>
        <w:sz w:val="22"/>
      </w:rPr>
      <w:tblPr/>
      <w:tcPr>
        <w:tcBorders>
          <w:left w:val="single" w:color="000000" w:themeColor="accent1" w:sz="4" w:space="0"/>
          <w:right w:val="single" w:color="000000" w:themeColor="accent1" w:sz="4" w:space="0"/>
        </w:tcBorders>
      </w:tcPr>
    </w:tblStylePr>
    <w:tblStylePr w:type="firstCol">
      <w:rPr>
        <w:b/>
        <w:color w:val="404040"/>
      </w:rPr>
      <w:tblPr/>
    </w:tblStylePr>
    <w:tblStylePr w:type="firstRow">
      <w:rPr>
        <w:b/>
        <w:color w:val="FFFFFF"/>
        <w:sz w:val="22"/>
      </w:rPr>
      <w:tblPr/>
      <w:tcPr>
        <w:shd w:val="clear" w:color="FFFFFF" w:fill="4472C4" w:themeFill="accent1"/>
      </w:tcPr>
    </w:tblStylePr>
    <w:tblStylePr w:type="lastCol">
      <w:rPr>
        <w:b/>
        <w:color w:val="404040"/>
      </w:rPr>
      <w:tblPr/>
    </w:tblStylePr>
    <w:tblStylePr w:type="lastRow">
      <w:rPr>
        <w:b/>
        <w:color w:val="404040"/>
      </w:rPr>
      <w:tblPr/>
    </w:tblStylePr>
  </w:style>
  <w:style w:type="table" w:styleId="1349">
    <w:name w:val="List Table 3 - Accent 2"/>
    <w:basedOn w:val="1481"/>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blPr/>
      <w:tcPr>
        <w:tcBorders>
          <w:top w:val="single" w:color="000000" w:themeColor="accent2" w:sz="4" w:space="0"/>
          <w:bottom w:val="single" w:color="000000" w:themeColor="accent2" w:sz="4" w:space="0"/>
        </w:tcBorders>
      </w:tcPr>
    </w:tblStylePr>
    <w:tblStylePr w:type="band1Vert">
      <w:rPr>
        <w:color w:val="404040"/>
        <w:sz w:val="22"/>
      </w:rPr>
      <w:tblPr/>
      <w:tcPr>
        <w:tcBorders>
          <w:left w:val="single" w:color="000000" w:themeColor="accent2" w:sz="4" w:space="0"/>
          <w:right w:val="single" w:color="000000" w:themeColor="accent2" w:sz="4" w:space="0"/>
        </w:tcBorders>
      </w:tcPr>
    </w:tblStylePr>
    <w:tblStylePr w:type="firstCol">
      <w:rPr>
        <w:b/>
        <w:color w:val="404040"/>
      </w:rPr>
      <w:tblPr/>
    </w:tblStylePr>
    <w:tblStylePr w:type="firstRow">
      <w:rPr>
        <w:b/>
        <w:color w:val="FFFFFF"/>
        <w:sz w:val="22"/>
      </w:rPr>
      <w:tblPr/>
      <w:tcPr>
        <w:shd w:val="clear" w:color="FFFFFF" w:fill="F4B185" w:themeFill="accent2" w:themeFillTint="97"/>
      </w:tcPr>
    </w:tblStylePr>
    <w:tblStylePr w:type="lastCol">
      <w:rPr>
        <w:b/>
        <w:color w:val="404040"/>
      </w:rPr>
      <w:tblPr/>
    </w:tblStylePr>
    <w:tblStylePr w:type="lastRow">
      <w:rPr>
        <w:b/>
        <w:color w:val="404040"/>
      </w:rPr>
      <w:tblPr/>
    </w:tblStylePr>
  </w:style>
  <w:style w:type="table" w:styleId="1350">
    <w:name w:val="List Table 3 - Accent 3"/>
    <w:basedOn w:val="1481"/>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blPr/>
      <w:tcPr>
        <w:tcBorders>
          <w:top w:val="single" w:color="000000" w:themeColor="accent3" w:sz="4" w:space="0"/>
          <w:bottom w:val="single" w:color="000000" w:themeColor="accent3" w:sz="4" w:space="0"/>
        </w:tcBorders>
      </w:tcPr>
    </w:tblStylePr>
    <w:tblStylePr w:type="band1Vert">
      <w:rPr>
        <w:color w:val="404040"/>
        <w:sz w:val="22"/>
      </w:rPr>
      <w:tblPr/>
      <w:tcPr>
        <w:tcBorders>
          <w:left w:val="single" w:color="000000" w:themeColor="accent3" w:sz="4" w:space="0"/>
          <w:right w:val="single" w:color="000000" w:themeColor="accent3" w:sz="4" w:space="0"/>
        </w:tcBorders>
      </w:tcPr>
    </w:tblStylePr>
    <w:tblStylePr w:type="firstCol">
      <w:rPr>
        <w:b/>
        <w:color w:val="404040"/>
      </w:rPr>
      <w:tblPr/>
    </w:tblStylePr>
    <w:tblStylePr w:type="firstRow">
      <w:rPr>
        <w:b/>
        <w:color w:val="FFFFFF"/>
        <w:sz w:val="22"/>
      </w:rPr>
      <w:tblPr/>
      <w:tcPr>
        <w:shd w:val="clear" w:color="FFFFFF" w:fill="C9C9C9" w:themeFill="accent3" w:themeFillTint="98"/>
      </w:tcPr>
    </w:tblStylePr>
    <w:tblStylePr w:type="lastCol">
      <w:rPr>
        <w:b/>
        <w:color w:val="404040"/>
      </w:rPr>
      <w:tblPr/>
    </w:tblStylePr>
    <w:tblStylePr w:type="lastRow">
      <w:rPr>
        <w:b/>
        <w:color w:val="404040"/>
      </w:rPr>
      <w:tblPr/>
    </w:tblStylePr>
  </w:style>
  <w:style w:type="table" w:styleId="1351">
    <w:name w:val="List Table 3 - Accent 4"/>
    <w:basedOn w:val="1481"/>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blPr/>
      <w:tcPr>
        <w:tcBorders>
          <w:top w:val="single" w:color="000000" w:themeColor="accent4" w:sz="4" w:space="0"/>
          <w:bottom w:val="single" w:color="000000" w:themeColor="accent4" w:sz="4" w:space="0"/>
        </w:tcBorders>
      </w:tcPr>
    </w:tblStylePr>
    <w:tblStylePr w:type="band1Vert">
      <w:rPr>
        <w:color w:val="404040"/>
        <w:sz w:val="22"/>
      </w:rPr>
      <w:tblPr/>
      <w:tcPr>
        <w:tcBorders>
          <w:left w:val="single" w:color="000000" w:themeColor="accent4" w:sz="4" w:space="0"/>
          <w:right w:val="single" w:color="000000" w:themeColor="accent4" w:sz="4" w:space="0"/>
        </w:tcBorders>
      </w:tcPr>
    </w:tblStylePr>
    <w:tblStylePr w:type="firstCol">
      <w:rPr>
        <w:b/>
        <w:color w:val="404040"/>
      </w:rPr>
      <w:tblPr/>
    </w:tblStylePr>
    <w:tblStylePr w:type="firstRow">
      <w:rPr>
        <w:b/>
        <w:color w:val="FFFFFF"/>
        <w:sz w:val="22"/>
      </w:rPr>
      <w:tblPr/>
      <w:tcPr>
        <w:shd w:val="clear" w:color="FFFFFF" w:fill="FFD864" w:themeFill="accent4" w:themeFillTint="9a"/>
      </w:tcPr>
    </w:tblStylePr>
    <w:tblStylePr w:type="lastCol">
      <w:rPr>
        <w:b/>
        <w:color w:val="404040"/>
      </w:rPr>
      <w:tblPr/>
    </w:tblStylePr>
    <w:tblStylePr w:type="lastRow">
      <w:rPr>
        <w:b/>
        <w:color w:val="404040"/>
      </w:rPr>
      <w:tblPr/>
    </w:tblStylePr>
  </w:style>
  <w:style w:type="table" w:styleId="1352">
    <w:name w:val="List Table 3 - Accent 5"/>
    <w:basedOn w:val="1481"/>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blPr/>
      <w:tcPr>
        <w:tcBorders>
          <w:top w:val="single" w:color="000000" w:themeColor="accent5" w:sz="4" w:space="0"/>
          <w:bottom w:val="single" w:color="000000" w:themeColor="accent5" w:sz="4" w:space="0"/>
        </w:tcBorders>
      </w:tcPr>
    </w:tblStylePr>
    <w:tblStylePr w:type="band1Vert">
      <w:rPr>
        <w:color w:val="404040"/>
        <w:sz w:val="22"/>
      </w:rPr>
      <w:tblPr/>
      <w:tcPr>
        <w:tcBorders>
          <w:left w:val="single" w:color="000000" w:themeColor="accent5" w:sz="4" w:space="0"/>
          <w:right w:val="single" w:color="000000" w:themeColor="accent5" w:sz="4" w:space="0"/>
        </w:tcBorders>
      </w:tcPr>
    </w:tblStylePr>
    <w:tblStylePr w:type="firstCol">
      <w:rPr>
        <w:b/>
        <w:color w:val="404040"/>
      </w:rPr>
      <w:tblPr/>
    </w:tblStylePr>
    <w:tblStylePr w:type="firstRow">
      <w:rPr>
        <w:b/>
        <w:color w:val="FFFFFF"/>
        <w:sz w:val="22"/>
      </w:rPr>
      <w:tblPr/>
      <w:tcPr>
        <w:shd w:val="clear" w:color="FFFFFF" w:fill="9CC4E5" w:themeFill="accent5" w:themeFillTint="9a"/>
      </w:tcPr>
    </w:tblStylePr>
    <w:tblStylePr w:type="lastCol">
      <w:rPr>
        <w:b/>
        <w:color w:val="404040"/>
      </w:rPr>
      <w:tblPr/>
    </w:tblStylePr>
    <w:tblStylePr w:type="lastRow">
      <w:rPr>
        <w:b/>
        <w:color w:val="404040"/>
      </w:rPr>
      <w:tblPr/>
    </w:tblStylePr>
  </w:style>
  <w:style w:type="table" w:styleId="1353">
    <w:name w:val="List Table 3 - Accent 6"/>
    <w:basedOn w:val="1481"/>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blPr/>
      <w:tcPr>
        <w:tcBorders>
          <w:top w:val="single" w:color="000000" w:themeColor="accent6" w:sz="4" w:space="0"/>
          <w:bottom w:val="single" w:color="000000" w:themeColor="accent6" w:sz="4" w:space="0"/>
        </w:tcBorders>
      </w:tcPr>
    </w:tblStylePr>
    <w:tblStylePr w:type="band1Vert">
      <w:rPr>
        <w:color w:val="404040"/>
        <w:sz w:val="22"/>
      </w:rPr>
      <w:tblPr/>
      <w:tcPr>
        <w:tcBorders>
          <w:left w:val="single" w:color="000000" w:themeColor="accent6" w:sz="4" w:space="0"/>
          <w:right w:val="single" w:color="000000" w:themeColor="accent6" w:sz="4" w:space="0"/>
        </w:tcBorders>
      </w:tcPr>
    </w:tblStylePr>
    <w:tblStylePr w:type="firstCol">
      <w:rPr>
        <w:b/>
        <w:color w:val="404040"/>
      </w:rPr>
      <w:tblPr/>
    </w:tblStylePr>
    <w:tblStylePr w:type="firstRow">
      <w:rPr>
        <w:b/>
        <w:color w:val="FFFFFF"/>
        <w:sz w:val="22"/>
      </w:rPr>
      <w:tblPr/>
      <w:tcPr>
        <w:shd w:val="clear" w:color="FFFFFF" w:fill="AAD08F" w:themeFill="accent6" w:themeFillTint="98"/>
      </w:tcPr>
    </w:tblStylePr>
    <w:tblStylePr w:type="lastCol">
      <w:rPr>
        <w:b/>
        <w:color w:val="404040"/>
      </w:rPr>
      <w:tblPr/>
    </w:tblStylePr>
    <w:tblStylePr w:type="lastRow">
      <w:rPr>
        <w:b/>
        <w:color w:val="404040"/>
      </w:rPr>
      <w:tblPr/>
    </w:tblStylePr>
  </w:style>
  <w:style w:type="table" w:styleId="1354">
    <w:name w:val="List Table 4"/>
    <w:basedOn w:val="148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355">
    <w:name w:val="List Table 4 - Accent 1"/>
    <w:basedOn w:val="1481"/>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blPr/>
      <w:tcPr>
        <w:shd w:val="clear" w:color="FFFFFF" w:fill="CFDCF0" w:themeFill="accent1" w:themeFillTint="40"/>
      </w:tcPr>
    </w:tblStylePr>
    <w:tblStylePr w:type="band1Vert">
      <w:rPr>
        <w:color w:val="404040"/>
        <w:sz w:val="22"/>
      </w:rPr>
      <w:tblPr/>
      <w:tcPr>
        <w:shd w:val="clear" w:color="FFFFFF" w:fill="CFDCF0" w:themeFill="accent1" w:themeFillTint="40"/>
      </w:tcPr>
    </w:tblStylePr>
    <w:tblStylePr w:type="firstCol">
      <w:rPr>
        <w:b/>
        <w:color w:val="404040"/>
      </w:rPr>
      <w:tblPr/>
    </w:tblStylePr>
    <w:tblStylePr w:type="firstRow">
      <w:rPr>
        <w:b/>
        <w:color w:val="FFFFFF"/>
        <w:sz w:val="22"/>
      </w:rPr>
      <w:tblPr/>
      <w:tcPr>
        <w:shd w:val="clear" w:color="FFFFFF" w:fill="4472C4" w:themeFill="accent1"/>
      </w:tcPr>
    </w:tblStylePr>
    <w:tblStylePr w:type="lastCol">
      <w:rPr>
        <w:b/>
        <w:color w:val="404040"/>
      </w:rPr>
      <w:tblPr/>
    </w:tblStylePr>
    <w:tblStylePr w:type="lastRow">
      <w:rPr>
        <w:b/>
        <w:color w:val="404040"/>
      </w:rPr>
      <w:tblPr/>
    </w:tblStylePr>
  </w:style>
  <w:style w:type="table" w:styleId="1356">
    <w:name w:val="List Table 4 - Accent 2"/>
    <w:basedOn w:val="1481"/>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blPr/>
      <w:tcPr>
        <w:shd w:val="clear" w:color="FFFFFF" w:fill="FADECB" w:themeFill="accent2" w:themeFillTint="40"/>
      </w:tcPr>
    </w:tblStylePr>
    <w:tblStylePr w:type="band1Vert">
      <w:rPr>
        <w:color w:val="404040"/>
        <w:sz w:val="22"/>
      </w:rPr>
      <w:tblPr/>
      <w:tcPr>
        <w:shd w:val="clear" w:color="FFFFFF" w:fill="FADECB" w:themeFill="accent2" w:themeFillTint="40"/>
      </w:tcPr>
    </w:tblStylePr>
    <w:tblStylePr w:type="firstCol">
      <w:rPr>
        <w:b/>
        <w:color w:val="404040"/>
      </w:rPr>
      <w:tblPr/>
    </w:tblStylePr>
    <w:tblStylePr w:type="firstRow">
      <w:rPr>
        <w:b/>
        <w:color w:val="FFFFFF"/>
        <w:sz w:val="22"/>
      </w:rPr>
      <w:tblPr/>
      <w:tcPr>
        <w:shd w:val="clear" w:color="FFFFFF" w:fill="ED7D31" w:themeFill="accent2"/>
      </w:tcPr>
    </w:tblStylePr>
    <w:tblStylePr w:type="lastCol">
      <w:rPr>
        <w:b/>
        <w:color w:val="404040"/>
      </w:rPr>
      <w:tblPr/>
    </w:tblStylePr>
    <w:tblStylePr w:type="lastRow">
      <w:rPr>
        <w:b/>
        <w:color w:val="404040"/>
      </w:rPr>
      <w:tblPr/>
    </w:tblStylePr>
  </w:style>
  <w:style w:type="table" w:styleId="1357">
    <w:name w:val="List Table 4 - Accent 3"/>
    <w:basedOn w:val="1481"/>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8E8E8" w:themeFill="accent3" w:themeFillTint="40"/>
      </w:tcPr>
    </w:tblStylePr>
    <w:tblStylePr w:type="band1Vert">
      <w:rPr>
        <w:color w:val="404040"/>
        <w:sz w:val="22"/>
      </w:rPr>
      <w:tblPr/>
      <w:tcPr>
        <w:shd w:val="clear" w:color="FFFFFF" w:fill="E8E8E8" w:themeFill="accent3" w:themeFillTint="40"/>
      </w:tcPr>
    </w:tblStylePr>
    <w:tblStylePr w:type="firstCol">
      <w:rPr>
        <w:b/>
        <w:color w:val="404040"/>
      </w:rPr>
      <w:tblPr/>
    </w:tblStylePr>
    <w:tblStylePr w:type="firstRow">
      <w:rPr>
        <w:b/>
        <w:color w:val="FFFFFF"/>
        <w:sz w:val="22"/>
      </w:rPr>
      <w:tblPr/>
      <w:tcPr>
        <w:shd w:val="clear" w:color="FFFFFF" w:fill="A5A5A5" w:themeFill="accent3"/>
      </w:tcPr>
    </w:tblStylePr>
    <w:tblStylePr w:type="lastCol">
      <w:rPr>
        <w:b/>
        <w:color w:val="404040"/>
      </w:rPr>
      <w:tblPr/>
    </w:tblStylePr>
    <w:tblStylePr w:type="lastRow">
      <w:rPr>
        <w:b/>
        <w:color w:val="404040"/>
      </w:rPr>
      <w:tblPr/>
    </w:tblStylePr>
  </w:style>
  <w:style w:type="table" w:styleId="1358">
    <w:name w:val="List Table 4 - Accent 4"/>
    <w:basedOn w:val="1481"/>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blPr/>
      <w:tcPr>
        <w:shd w:val="clear" w:color="FFFFFF" w:fill="FFEFBF" w:themeFill="accent4" w:themeFillTint="40"/>
      </w:tcPr>
    </w:tblStylePr>
    <w:tblStylePr w:type="band1Vert">
      <w:rPr>
        <w:color w:val="404040"/>
        <w:sz w:val="22"/>
      </w:rPr>
      <w:tblPr/>
      <w:tcPr>
        <w:shd w:val="clear" w:color="FFFFFF" w:fill="FFEFBF" w:themeFill="accent4" w:themeFillTint="40"/>
      </w:tcPr>
    </w:tblStylePr>
    <w:tblStylePr w:type="firstCol">
      <w:rPr>
        <w:b/>
        <w:color w:val="404040"/>
      </w:rPr>
      <w:tblPr/>
    </w:tblStylePr>
    <w:tblStylePr w:type="firstRow">
      <w:rPr>
        <w:b/>
        <w:color w:val="FFFFFF"/>
        <w:sz w:val="22"/>
      </w:rPr>
      <w:tblPr/>
      <w:tcPr>
        <w:shd w:val="clear" w:color="FFFFFF" w:fill="FFC000" w:themeFill="accent4"/>
      </w:tcPr>
    </w:tblStylePr>
    <w:tblStylePr w:type="lastCol">
      <w:rPr>
        <w:b/>
        <w:color w:val="404040"/>
      </w:rPr>
      <w:tblPr/>
    </w:tblStylePr>
    <w:tblStylePr w:type="lastRow">
      <w:rPr>
        <w:b/>
        <w:color w:val="404040"/>
      </w:rPr>
      <w:tblPr/>
    </w:tblStylePr>
  </w:style>
  <w:style w:type="table" w:styleId="1359">
    <w:name w:val="List Table 4 - Accent 5"/>
    <w:basedOn w:val="1481"/>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5E6F4" w:themeFill="accent5" w:themeFillTint="40"/>
      </w:tcPr>
    </w:tblStylePr>
    <w:tblStylePr w:type="band1Vert">
      <w:rPr>
        <w:color w:val="404040"/>
        <w:sz w:val="22"/>
      </w:rPr>
      <w:tblPr/>
      <w:tcPr>
        <w:shd w:val="clear" w:color="FFFFFF" w:fill="D5E6F4" w:themeFill="accent5" w:themeFillTint="40"/>
      </w:tcPr>
    </w:tblStylePr>
    <w:tblStylePr w:type="firstCol">
      <w:rPr>
        <w:b/>
        <w:color w:val="404040"/>
      </w:rPr>
      <w:tblPr/>
    </w:tblStylePr>
    <w:tblStylePr w:type="firstRow">
      <w:rPr>
        <w:b/>
        <w:color w:val="FFFFFF"/>
        <w:sz w:val="22"/>
      </w:rPr>
      <w:tblPr/>
      <w:tcPr>
        <w:shd w:val="clear" w:color="FFFFFF" w:fill="5B9BD5" w:themeFill="accent5"/>
      </w:tcPr>
    </w:tblStylePr>
    <w:tblStylePr w:type="lastCol">
      <w:rPr>
        <w:b/>
        <w:color w:val="404040"/>
      </w:rPr>
      <w:tblPr/>
    </w:tblStylePr>
    <w:tblStylePr w:type="lastRow">
      <w:rPr>
        <w:b/>
        <w:color w:val="404040"/>
      </w:rPr>
      <w:tblPr/>
    </w:tblStylePr>
  </w:style>
  <w:style w:type="table" w:styleId="1360">
    <w:name w:val="List Table 4 - Accent 6"/>
    <w:basedOn w:val="1481"/>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blPr/>
      <w:tcPr>
        <w:shd w:val="clear" w:color="FFFFFF" w:fill="DBEBD0" w:themeFill="accent6" w:themeFillTint="40"/>
      </w:tcPr>
    </w:tblStylePr>
    <w:tblStylePr w:type="band1Vert">
      <w:rPr>
        <w:color w:val="404040"/>
        <w:sz w:val="22"/>
      </w:rPr>
      <w:tblPr/>
      <w:tcPr>
        <w:shd w:val="clear" w:color="FFFFFF" w:fill="DBEBD0" w:themeFill="accent6" w:themeFillTint="40"/>
      </w:tcPr>
    </w:tblStylePr>
    <w:tblStylePr w:type="firstCol">
      <w:rPr>
        <w:b/>
        <w:color w:val="404040"/>
      </w:rPr>
      <w:tblPr/>
    </w:tblStylePr>
    <w:tblStylePr w:type="firstRow">
      <w:rPr>
        <w:b/>
        <w:color w:val="FFFFFF"/>
        <w:sz w:val="22"/>
      </w:rPr>
      <w:tblPr/>
      <w:tcPr>
        <w:shd w:val="clear" w:color="FFFFFF" w:fill="70AD47" w:themeFill="accent6"/>
      </w:tcPr>
    </w:tblStylePr>
    <w:tblStylePr w:type="lastCol">
      <w:rPr>
        <w:b/>
        <w:color w:val="404040"/>
      </w:rPr>
      <w:tblPr/>
    </w:tblStylePr>
    <w:tblStylePr w:type="lastRow">
      <w:rPr>
        <w:b/>
        <w:color w:val="404040"/>
      </w:rPr>
      <w:tblPr/>
    </w:tblStylePr>
  </w:style>
  <w:style w:type="table" w:styleId="1361">
    <w:name w:val="List Table 5 Dark"/>
    <w:basedOn w:val="1481"/>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text1" w:sz="32" w:space="0"/>
          <w:right w:val="single" w:color="000000" w:themeColor="light1" w:sz="4" w:space="0"/>
        </w:tcBorders>
      </w:tcPr>
    </w:tblStylePr>
    <w:tblStylePr w:type="firstRow">
      <w:rPr>
        <w:b/>
        <w:color w:val="FFFFFF"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62">
    <w:name w:val="List Table 5 Dark - Accent 1"/>
    <w:basedOn w:val="1481"/>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4472C4" w:themeFill="accent1"/>
      </w:tcPr>
    </w:tblStylePr>
    <w:tblStylePr w:type="band1Vert">
      <w:tblPr/>
      <w:tcPr>
        <w:tcBorders>
          <w:left w:val="single" w:color="000000" w:themeColor="light1" w:sz="4" w:space="0"/>
          <w:right w:val="single" w:color="000000" w:themeColor="light1" w:sz="4" w:space="0"/>
        </w:tcBorders>
        <w:shd w:val="clear" w:color="FFFFFF" w:fill="4472C4" w:themeFill="accent1"/>
      </w:tcPr>
    </w:tblStylePr>
    <w:tblStylePr w:type="band2Horz">
      <w:tblPr/>
      <w:tcPr>
        <w:tcBorders>
          <w:top w:val="single" w:color="000000" w:themeColor="light1" w:sz="4" w:space="0"/>
          <w:bottom w:val="single" w:color="000000" w:themeColor="light1" w:sz="4" w:space="0"/>
        </w:tcBorders>
        <w:shd w:val="clear" w:color="FFFFFF" w:fill="4472C4"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1" w:sz="32" w:space="0"/>
          <w:right w:val="single" w:color="000000" w:themeColor="light1" w:sz="4" w:space="0"/>
        </w:tcBorders>
      </w:tcPr>
    </w:tblStylePr>
    <w:tblStylePr w:type="firstRow">
      <w:rPr>
        <w:b/>
        <w:color w:val="FFFFFF" w:themeColor="light1"/>
        <w:sz w:val="22"/>
      </w:rPr>
      <w:tblPr/>
      <w:tcPr>
        <w:tcBorders>
          <w:top w:val="single" w:color="000000" w:themeColor="accent1" w:sz="32" w:space="0"/>
          <w:bottom w:val="single" w:color="000000" w:themeColor="light1" w:sz="12" w:space="0"/>
        </w:tcBorders>
        <w:shd w:val="clear" w:color="FFFFFF" w:fill="4472C4"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63">
    <w:name w:val="List Table 5 Dark - Accent 2"/>
    <w:basedOn w:val="1481"/>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F4B185" w:themeFill="accent2" w:themeFillTint="97"/>
      </w:tcPr>
    </w:tblStylePr>
    <w:tblStylePr w:type="band1Vert">
      <w:tblPr/>
      <w:tcPr>
        <w:tcBorders>
          <w:left w:val="single" w:color="000000" w:themeColor="light1" w:sz="4" w:space="0"/>
          <w:right w:val="single" w:color="000000" w:themeColor="light1" w:sz="4" w:space="0"/>
        </w:tcBorders>
        <w:shd w:val="clear" w:color="FFFFFF" w:fill="F4B185" w:themeFill="accent2" w:themeFillTint="97"/>
      </w:tcPr>
    </w:tblStylePr>
    <w:tblStylePr w:type="band2Horz">
      <w:tblPr/>
      <w:tcPr>
        <w:tcBorders>
          <w:top w:val="single" w:color="000000" w:themeColor="light1" w:sz="4" w:space="0"/>
          <w:bottom w:val="single" w:color="000000" w:themeColor="light1" w:sz="4" w:space="0"/>
        </w:tcBorders>
        <w:shd w:val="clear" w:color="FFFFFF" w:fill="F4B185"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2" w:sz="32" w:space="0"/>
          <w:right w:val="single" w:color="000000" w:themeColor="light1" w:sz="4" w:space="0"/>
        </w:tcBorders>
      </w:tcPr>
    </w:tblStylePr>
    <w:tblStylePr w:type="firstRow">
      <w:rPr>
        <w:b/>
        <w:color w:val="FFFFFF" w:themeColor="light1"/>
        <w:sz w:val="22"/>
      </w:rPr>
      <w:tblPr/>
      <w:tcPr>
        <w:tcBorders>
          <w:top w:val="single" w:color="000000" w:themeColor="accent2" w:sz="32" w:space="0"/>
          <w:bottom w:val="single" w:color="000000" w:themeColor="light1" w:sz="12" w:space="0"/>
        </w:tcBorders>
        <w:shd w:val="clear" w:color="FFFFFF" w:fill="F4B185"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64">
    <w:name w:val="List Table 5 Dark - Accent 3"/>
    <w:basedOn w:val="1481"/>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9C9C9" w:themeFill="accent3" w:themeFillTint="98"/>
      </w:tcPr>
    </w:tblStylePr>
    <w:tblStylePr w:type="band1Vert">
      <w:tblPr/>
      <w:tcPr>
        <w:tcBorders>
          <w:left w:val="single" w:color="000000" w:themeColor="light1" w:sz="4" w:space="0"/>
          <w:right w:val="single" w:color="000000" w:themeColor="light1" w:sz="4" w:space="0"/>
        </w:tcBorders>
        <w:shd w:val="clear" w:color="FFFFFF" w:fill="C9C9C9" w:themeFill="accent3" w:themeFillTint="98"/>
      </w:tcPr>
    </w:tblStylePr>
    <w:tblStylePr w:type="band2Horz">
      <w:tblPr/>
      <w:tcPr>
        <w:tcBorders>
          <w:top w:val="single" w:color="000000" w:themeColor="light1" w:sz="4" w:space="0"/>
          <w:bottom w:val="single" w:color="000000" w:themeColor="light1" w:sz="4" w:space="0"/>
        </w:tcBorders>
        <w:shd w:val="clear" w:color="FFFFFF" w:fill="C9C9C9"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3" w:sz="32" w:space="0"/>
          <w:right w:val="single" w:color="000000" w:themeColor="light1" w:sz="4" w:space="0"/>
        </w:tcBorders>
      </w:tcPr>
    </w:tblStylePr>
    <w:tblStylePr w:type="firstRow">
      <w:rPr>
        <w:b/>
        <w:color w:val="FFFFFF" w:themeColor="light1"/>
        <w:sz w:val="22"/>
      </w:rPr>
      <w:tblPr/>
      <w:tcPr>
        <w:tcBorders>
          <w:top w:val="single" w:color="000000" w:themeColor="accent3" w:sz="32" w:space="0"/>
          <w:bottom w:val="single" w:color="000000" w:themeColor="light1" w:sz="12" w:space="0"/>
        </w:tcBorders>
        <w:shd w:val="clear" w:color="FFFFFF" w:fill="C9C9C9"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65">
    <w:name w:val="List Table 5 Dark - Accent 4"/>
    <w:basedOn w:val="1481"/>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FFD864" w:themeFill="accent4" w:themeFillTint="9a"/>
      </w:tcPr>
    </w:tblStylePr>
    <w:tblStylePr w:type="band1Vert">
      <w:tblPr/>
      <w:tcPr>
        <w:tcBorders>
          <w:left w:val="single" w:color="000000" w:themeColor="light1" w:sz="4" w:space="0"/>
          <w:right w:val="single" w:color="000000" w:themeColor="light1" w:sz="4" w:space="0"/>
        </w:tcBorders>
        <w:shd w:val="clear" w:color="FFFFFF" w:fill="FFD864" w:themeFill="accent4" w:themeFillTint="9a"/>
      </w:tcPr>
    </w:tblStylePr>
    <w:tblStylePr w:type="band2Horz">
      <w:tblPr/>
      <w:tcPr>
        <w:tcBorders>
          <w:top w:val="single" w:color="000000" w:themeColor="light1" w:sz="4" w:space="0"/>
          <w:bottom w:val="single" w:color="000000" w:themeColor="light1" w:sz="4" w:space="0"/>
        </w:tcBorders>
        <w:shd w:val="clear" w:color="FFFFFF" w:fill="FFD864"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4" w:sz="32" w:space="0"/>
          <w:right w:val="single" w:color="000000" w:themeColor="light1" w:sz="4" w:space="0"/>
        </w:tcBorders>
      </w:tcPr>
    </w:tblStylePr>
    <w:tblStylePr w:type="firstRow">
      <w:rPr>
        <w:b/>
        <w:color w:val="FFFFFF" w:themeColor="light1"/>
        <w:sz w:val="22"/>
      </w:rPr>
      <w:tblPr/>
      <w:tcPr>
        <w:tcBorders>
          <w:top w:val="single" w:color="000000" w:themeColor="accent4" w:sz="32" w:space="0"/>
          <w:bottom w:val="single" w:color="000000" w:themeColor="light1" w:sz="12" w:space="0"/>
        </w:tcBorders>
        <w:shd w:val="clear" w:color="FFFFFF" w:fill="FFD864"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66">
    <w:name w:val="List Table 5 Dark - Accent 5"/>
    <w:basedOn w:val="1481"/>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9CC4E5" w:themeFill="accent5" w:themeFillTint="9a"/>
      </w:tcPr>
    </w:tblStylePr>
    <w:tblStylePr w:type="band1Vert">
      <w:tblPr/>
      <w:tcPr>
        <w:tcBorders>
          <w:left w:val="single" w:color="000000" w:themeColor="light1" w:sz="4" w:space="0"/>
          <w:right w:val="single" w:color="000000" w:themeColor="light1" w:sz="4" w:space="0"/>
        </w:tcBorders>
        <w:shd w:val="clear" w:color="FFFFFF" w:fill="9CC4E5" w:themeFill="accent5" w:themeFillTint="9a"/>
      </w:tcPr>
    </w:tblStylePr>
    <w:tblStylePr w:type="band2Horz">
      <w:tblPr/>
      <w:tcPr>
        <w:tcBorders>
          <w:top w:val="single" w:color="000000" w:themeColor="light1" w:sz="4" w:space="0"/>
          <w:bottom w:val="single" w:color="000000" w:themeColor="light1" w:sz="4" w:space="0"/>
        </w:tcBorders>
        <w:shd w:val="clear" w:color="FFFFFF" w:fill="9CC4E5"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5" w:sz="32" w:space="0"/>
          <w:right w:val="single" w:color="000000" w:themeColor="light1" w:sz="4" w:space="0"/>
        </w:tcBorders>
      </w:tcPr>
    </w:tblStylePr>
    <w:tblStylePr w:type="firstRow">
      <w:rPr>
        <w:b/>
        <w:color w:val="FFFFFF" w:themeColor="light1"/>
        <w:sz w:val="22"/>
      </w:rPr>
      <w:tblPr/>
      <w:tcPr>
        <w:tcBorders>
          <w:top w:val="single" w:color="000000" w:themeColor="accent5" w:sz="32" w:space="0"/>
          <w:bottom w:val="single" w:color="000000" w:themeColor="light1" w:sz="12" w:space="0"/>
        </w:tcBorders>
        <w:shd w:val="clear" w:color="FFFFFF" w:fill="9CC4E5"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67">
    <w:name w:val="List Table 5 Dark - Accent 6"/>
    <w:basedOn w:val="1481"/>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AAD08F" w:themeFill="accent6" w:themeFillTint="98"/>
      </w:tcPr>
    </w:tblStylePr>
    <w:tblStylePr w:type="band1Vert">
      <w:tblPr/>
      <w:tcPr>
        <w:tcBorders>
          <w:left w:val="single" w:color="000000" w:themeColor="light1" w:sz="4" w:space="0"/>
          <w:right w:val="single" w:color="000000" w:themeColor="light1" w:sz="4" w:space="0"/>
        </w:tcBorders>
        <w:shd w:val="clear" w:color="FFFFFF" w:fill="AAD08F" w:themeFill="accent6" w:themeFillTint="98"/>
      </w:tcPr>
    </w:tblStylePr>
    <w:tblStylePr w:type="band2Horz">
      <w:tblPr/>
      <w:tcPr>
        <w:tcBorders>
          <w:top w:val="single" w:color="000000" w:themeColor="light1" w:sz="4" w:space="0"/>
          <w:bottom w:val="single" w:color="000000" w:themeColor="light1" w:sz="4" w:space="0"/>
        </w:tcBorders>
        <w:shd w:val="clear" w:color="FFFFFF" w:fill="AAD08F"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6" w:sz="32" w:space="0"/>
          <w:right w:val="single" w:color="000000" w:themeColor="light1" w:sz="4" w:space="0"/>
        </w:tcBorders>
      </w:tcPr>
    </w:tblStylePr>
    <w:tblStylePr w:type="firstRow">
      <w:rPr>
        <w:b/>
        <w:color w:val="FFFFFF" w:themeColor="light1"/>
        <w:sz w:val="22"/>
      </w:rPr>
      <w:tblPr/>
      <w:tcPr>
        <w:tcBorders>
          <w:top w:val="single" w:color="000000" w:themeColor="accent6" w:sz="32" w:space="0"/>
          <w:bottom w:val="single" w:color="000000" w:themeColor="light1" w:sz="12" w:space="0"/>
        </w:tcBorders>
        <w:shd w:val="clear" w:color="FFFFFF" w:fill="AAD08F"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68">
    <w:name w:val="List Table 6 Colorful"/>
    <w:basedOn w:val="1481"/>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val="40404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0404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styleId="1369">
    <w:name w:val="List Table 6 Colorful - Accent 1"/>
    <w:basedOn w:val="1481"/>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val="404040" w:themeColor="accent1" w:themeShade="95"/>
        <w:sz w:val="22"/>
      </w:rPr>
      <w:tblPr/>
      <w:tcPr>
        <w:shd w:val="clear" w:color="FFFFFF" w:fill="CFDCF0" w:themeFill="accent1" w:themeFillTint="40"/>
      </w:tcPr>
    </w:tblStylePr>
    <w:tblStylePr w:type="band1Vert">
      <w:tblPr/>
      <w:tcPr>
        <w:shd w:val="clear" w:color="FFFFFF" w:fill="CFDCF0" w:themeFill="accent1" w:themeFillTint="40"/>
      </w:tcPr>
    </w:tblStylePr>
    <w:tblStylePr w:type="band2Horz">
      <w:rPr>
        <w:color w:val="404040" w:themeColor="accent1" w:themeShade="95"/>
        <w:sz w:val="22"/>
      </w:rPr>
      <w:tblPr/>
    </w:tblStylePr>
    <w:tblStylePr w:type="firstCol">
      <w:rPr>
        <w:b/>
        <w:color w:val="254374" w:themeColor="accent1" w:themeShade="95"/>
      </w:rPr>
      <w:tblPr/>
    </w:tblStylePr>
    <w:tblStylePr w:type="firstRow">
      <w:rPr>
        <w:b/>
        <w:color w:val="254374" w:themeColor="accent1" w:themeShade="95"/>
      </w:rPr>
      <w:tblPr/>
      <w:tcPr>
        <w:tcBorders>
          <w:bottom w:val="single" w:color="000000" w:themeColor="accent1" w:sz="4" w:space="0"/>
        </w:tcBorders>
      </w:tcPr>
    </w:tblStylePr>
    <w:tblStylePr w:type="lastCol">
      <w:rPr>
        <w:b/>
        <w:color w:val="254374" w:themeColor="accent1" w:themeShade="95"/>
      </w:rPr>
      <w:tblPr/>
    </w:tblStylePr>
    <w:tblStylePr w:type="lastRow">
      <w:rPr>
        <w:b/>
        <w:color w:val="254374" w:themeColor="accent1" w:themeShade="95"/>
      </w:rPr>
      <w:tblPr/>
      <w:tcPr>
        <w:tcBorders>
          <w:top w:val="single" w:color="000000" w:themeColor="accent1" w:sz="4" w:space="0"/>
        </w:tcBorders>
      </w:tcPr>
    </w:tblStylePr>
  </w:style>
  <w:style w:type="table" w:styleId="1370">
    <w:name w:val="List Table 6 Colorful - Accent 2"/>
    <w:basedOn w:val="1481"/>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404040" w:themeColor="accent2" w:themeTint="97" w:themeShade="95"/>
        <w:sz w:val="22"/>
      </w:rPr>
      <w:tblPr/>
    </w:tblStylePr>
    <w:tblStylePr w:type="firstCol">
      <w:rPr>
        <w:b/>
        <w:color w:val="C95712" w:themeColor="accent2" w:themeTint="97" w:themeShade="95"/>
      </w:rPr>
      <w:tblPr/>
    </w:tblStylePr>
    <w:tblStylePr w:type="firstRow">
      <w:rPr>
        <w:b/>
        <w:color w:val="C95712" w:themeColor="accent2" w:themeTint="97" w:themeShade="95"/>
      </w:rPr>
      <w:tblPr/>
      <w:tcPr>
        <w:tcBorders>
          <w:bottom w:val="single" w:color="000000" w:themeColor="accent2" w:sz="4" w:space="0"/>
        </w:tcBorders>
      </w:tcPr>
    </w:tblStylePr>
    <w:tblStylePr w:type="lastCol">
      <w:rPr>
        <w:b/>
        <w:color w:val="C95712" w:themeColor="accent2" w:themeTint="97" w:themeShade="95"/>
      </w:rPr>
      <w:tblPr/>
    </w:tblStylePr>
    <w:tblStylePr w:type="lastRow">
      <w:rPr>
        <w:b/>
        <w:color w:val="C95712" w:themeColor="accent2" w:themeTint="97" w:themeShade="95"/>
      </w:rPr>
      <w:tblPr/>
      <w:tcPr>
        <w:tcBorders>
          <w:top w:val="single" w:color="000000" w:themeColor="accent2" w:sz="4" w:space="0"/>
        </w:tcBorders>
      </w:tcPr>
    </w:tblStylePr>
  </w:style>
  <w:style w:type="table" w:styleId="1371">
    <w:name w:val="List Table 6 Colorful - Accent 3"/>
    <w:basedOn w:val="1481"/>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404040" w:themeColor="accent3" w:themeTint="98" w:themeShade="95"/>
        <w:sz w:val="22"/>
      </w:rPr>
      <w:tblPr/>
    </w:tblStylePr>
    <w:tblStylePr w:type="firstCol">
      <w:rPr>
        <w:b/>
        <w:color w:val="757575" w:themeColor="accent3" w:themeTint="98" w:themeShade="95"/>
      </w:rPr>
      <w:tblPr/>
    </w:tblStylePr>
    <w:tblStylePr w:type="firstRow">
      <w:rPr>
        <w:b/>
        <w:color w:val="757575" w:themeColor="accent3" w:themeTint="98" w:themeShade="95"/>
      </w:rPr>
      <w:tblPr/>
      <w:tcPr>
        <w:tcBorders>
          <w:bottom w:val="single" w:color="000000" w:themeColor="accent3" w:sz="4" w:space="0"/>
        </w:tcBorders>
      </w:tcPr>
    </w:tblStylePr>
    <w:tblStylePr w:type="lastCol">
      <w:rPr>
        <w:b/>
        <w:color w:val="757575" w:themeColor="accent3" w:themeTint="98" w:themeShade="95"/>
      </w:rPr>
      <w:tblPr/>
    </w:tblStylePr>
    <w:tblStylePr w:type="lastRow">
      <w:rPr>
        <w:b/>
        <w:color w:val="757575" w:themeColor="accent3" w:themeTint="98" w:themeShade="95"/>
      </w:rPr>
      <w:tblPr/>
      <w:tcPr>
        <w:tcBorders>
          <w:top w:val="single" w:color="000000" w:themeColor="accent3" w:sz="4" w:space="0"/>
        </w:tcBorders>
      </w:tcPr>
    </w:tblStylePr>
  </w:style>
  <w:style w:type="table" w:styleId="1372">
    <w:name w:val="List Table 6 Colorful - Accent 4"/>
    <w:basedOn w:val="1481"/>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404040" w:themeColor="accent4" w:themeTint="9a" w:themeShade="95"/>
        <w:sz w:val="22"/>
      </w:rPr>
      <w:tblPr/>
    </w:tblStylePr>
    <w:tblStylePr w:type="firstCol">
      <w:rPr>
        <w:b/>
        <w:color w:val="CD9600" w:themeColor="accent4" w:themeTint="9a" w:themeShade="95"/>
      </w:rPr>
      <w:tblPr/>
    </w:tblStylePr>
    <w:tblStylePr w:type="firstRow">
      <w:rPr>
        <w:b/>
        <w:color w:val="CD9600" w:themeColor="accent4" w:themeTint="9a" w:themeShade="95"/>
      </w:rPr>
      <w:tblPr/>
      <w:tcPr>
        <w:tcBorders>
          <w:bottom w:val="single" w:color="000000" w:themeColor="accent4" w:sz="4" w:space="0"/>
        </w:tcBorders>
      </w:tcPr>
    </w:tblStylePr>
    <w:tblStylePr w:type="lastCol">
      <w:rPr>
        <w:b/>
        <w:color w:val="CD9600" w:themeColor="accent4" w:themeTint="9a" w:themeShade="95"/>
      </w:rPr>
      <w:tblPr/>
    </w:tblStylePr>
    <w:tblStylePr w:type="lastRow">
      <w:rPr>
        <w:b/>
        <w:color w:val="CD9600" w:themeColor="accent4" w:themeTint="9a" w:themeShade="95"/>
      </w:rPr>
      <w:tblPr/>
      <w:tcPr>
        <w:tcBorders>
          <w:top w:val="single" w:color="000000" w:themeColor="accent4" w:sz="4" w:space="0"/>
        </w:tcBorders>
      </w:tcPr>
    </w:tblStylePr>
  </w:style>
  <w:style w:type="table" w:styleId="1373">
    <w:name w:val="List Table 6 Colorful - Accent 5"/>
    <w:basedOn w:val="1481"/>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blPr/>
      <w:tcPr>
        <w:shd w:val="clear" w:color="FFFFFF" w:fill="D5E6F4" w:themeFill="accent5" w:themeFillTint="40"/>
      </w:tcPr>
    </w:tblStylePr>
    <w:tblStylePr w:type="band1Vert">
      <w:tblPr/>
      <w:tcPr>
        <w:shd w:val="clear" w:color="FFFFFF" w:fill="D5E6F4" w:themeFill="accent5" w:themeFillTint="40"/>
      </w:tcPr>
    </w:tblStylePr>
    <w:tblStylePr w:type="band2Horz">
      <w:rPr>
        <w:color w:val="404040" w:themeColor="accent5" w:themeTint="9a" w:themeShade="95"/>
        <w:sz w:val="22"/>
      </w:rPr>
      <w:tblPr/>
    </w:tblStylePr>
    <w:tblStylePr w:type="firstCol">
      <w:rPr>
        <w:b/>
        <w:color w:val="2E78B1" w:themeColor="accent5" w:themeTint="9a" w:themeShade="95"/>
      </w:rPr>
      <w:tblPr/>
    </w:tblStylePr>
    <w:tblStylePr w:type="firstRow">
      <w:rPr>
        <w:b/>
        <w:color w:val="2E78B1" w:themeColor="accent5" w:themeTint="9a" w:themeShade="95"/>
      </w:rPr>
      <w:tblPr/>
      <w:tcPr>
        <w:tcBorders>
          <w:bottom w:val="single" w:color="000000" w:themeColor="accent5" w:sz="4" w:space="0"/>
        </w:tcBorders>
      </w:tcPr>
    </w:tblStylePr>
    <w:tblStylePr w:type="lastCol">
      <w:rPr>
        <w:b/>
        <w:color w:val="2E78B1" w:themeColor="accent5" w:themeTint="9a" w:themeShade="95"/>
      </w:rPr>
      <w:tblPr/>
    </w:tblStylePr>
    <w:tblStylePr w:type="lastRow">
      <w:rPr>
        <w:b/>
        <w:color w:val="2E78B1" w:themeColor="accent5" w:themeTint="9a" w:themeShade="95"/>
      </w:rPr>
      <w:tblPr/>
      <w:tcPr>
        <w:tcBorders>
          <w:top w:val="single" w:color="000000" w:themeColor="accent5" w:sz="4" w:space="0"/>
        </w:tcBorders>
      </w:tcPr>
    </w:tblStylePr>
  </w:style>
  <w:style w:type="table" w:styleId="1374">
    <w:name w:val="List Table 6 Colorful - Accent 6"/>
    <w:basedOn w:val="1481"/>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blPr/>
      <w:tcPr>
        <w:shd w:val="clear" w:color="FFFFFF" w:fill="DBEBD0" w:themeFill="accent6" w:themeFillTint="40"/>
      </w:tcPr>
    </w:tblStylePr>
    <w:tblStylePr w:type="band1Vert">
      <w:tblPr/>
      <w:tcPr>
        <w:shd w:val="clear" w:color="FFFFFF" w:fill="DBEBD0" w:themeFill="accent6" w:themeFillTint="40"/>
      </w:tcPr>
    </w:tblStylePr>
    <w:tblStylePr w:type="band2Horz">
      <w:rPr>
        <w:color w:val="404040" w:themeColor="accent6" w:themeTint="98" w:themeShade="95"/>
        <w:sz w:val="22"/>
      </w:rPr>
      <w:tblPr/>
    </w:tblStylePr>
    <w:tblStylePr w:type="firstCol">
      <w:rPr>
        <w:b/>
        <w:color w:val="5F8F3C" w:themeColor="accent6" w:themeTint="98" w:themeShade="95"/>
      </w:rPr>
      <w:tblPr/>
    </w:tblStylePr>
    <w:tblStylePr w:type="firstRow">
      <w:rPr>
        <w:b/>
        <w:color w:val="5F8F3C" w:themeColor="accent6" w:themeTint="98" w:themeShade="95"/>
      </w:rPr>
      <w:tblPr/>
      <w:tcPr>
        <w:tcBorders>
          <w:bottom w:val="single" w:color="000000" w:themeColor="accent6" w:sz="4" w:space="0"/>
        </w:tcBorders>
      </w:tcPr>
    </w:tblStylePr>
    <w:tblStylePr w:type="lastCol">
      <w:rPr>
        <w:b/>
        <w:color w:val="5F8F3C" w:themeColor="accent6" w:themeTint="98" w:themeShade="95"/>
      </w:rPr>
      <w:tblPr/>
    </w:tblStylePr>
    <w:tblStylePr w:type="lastRow">
      <w:rPr>
        <w:b/>
        <w:color w:val="5F8F3C" w:themeColor="accent6" w:themeTint="98" w:themeShade="95"/>
      </w:rPr>
      <w:tblPr/>
      <w:tcPr>
        <w:tcBorders>
          <w:top w:val="single" w:color="000000" w:themeColor="accent6" w:sz="4" w:space="0"/>
        </w:tcBorders>
      </w:tcPr>
    </w:tblStylePr>
  </w:style>
  <w:style w:type="table" w:styleId="1375">
    <w:name w:val="List Table 7 Colorful"/>
    <w:basedOn w:val="1481"/>
    <w:uiPriority w:val="99"/>
    <w:pPr>
      <w:spacing w:after="0" w:line="240" w:lineRule="auto"/>
    </w:pPr>
    <w:tblPr>
      <w:tblStyleRowBandSize w:val="1"/>
      <w:tblStyleColBandSize w:val="1"/>
      <w:tblBorders>
        <w:right w:val="single" w:color="000000" w:themeColor="text1" w:themeTint="80" w:sz="4" w:space="0"/>
      </w:tblBorders>
    </w:tblPr>
    <w:tblStylePr w:type="band1Horz">
      <w:rPr>
        <w:color w:val="4A4A4A"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tcPr>
    </w:tblStylePr>
    <w:tblStylePr w:type="firstRow">
      <w:rPr>
        <w:i/>
        <w:color w:val="4A4A4A"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Col">
      <w:rPr>
        <w:i/>
        <w:color w:val="4A4A4A"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tcPr>
    </w:tblStylePr>
    <w:tblStylePr w:type="lastRow">
      <w:rPr>
        <w:i/>
        <w:color w:val="4A4A4A"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wholeTable">
      <w:rPr>
        <w:color w:val="4A4A4A" w:themeColor="text1" w:themeTint="80" w:themeShade="95"/>
        <w:sz w:val="22"/>
      </w:rPr>
      <w:tblPr/>
    </w:tblStylePr>
  </w:style>
  <w:style w:type="table" w:styleId="1376">
    <w:name w:val="List Table 7 Colorful - Accent 1"/>
    <w:basedOn w:val="1481"/>
    <w:uiPriority w:val="99"/>
    <w:pPr>
      <w:spacing w:after="0" w:line="240" w:lineRule="auto"/>
    </w:pPr>
    <w:tblPr>
      <w:tblStyleRowBandSize w:val="1"/>
      <w:tblStyleColBandSize w:val="1"/>
      <w:tblBorders>
        <w:right w:val="single" w:color="000000" w:themeColor="accent1" w:sz="4" w:space="0"/>
      </w:tblBorders>
    </w:tblPr>
    <w:tblStylePr w:type="band1Horz">
      <w:rPr>
        <w:color w:val="254374" w:themeColor="accent1" w:themeShade="95"/>
        <w:sz w:val="22"/>
      </w:rPr>
      <w:tblPr/>
      <w:tcPr>
        <w:shd w:val="clear" w:color="FFFFFF" w:fill="CFDCF0" w:themeFill="accent1" w:themeFillTint="40"/>
      </w:tcPr>
    </w:tblStylePr>
    <w:tblStylePr w:type="band1Vert">
      <w:tblPr/>
      <w:tcPr>
        <w:shd w:val="clear" w:color="FFFFFF" w:fill="CFDCF0" w:themeFill="accent1" w:themeFillTint="40"/>
      </w:tcPr>
    </w:tblStylePr>
    <w:tblStylePr w:type="band2Horz">
      <w:rPr>
        <w:color w:val="254374" w:themeColor="accent1" w:themeShade="95"/>
        <w:sz w:val="22"/>
      </w:rPr>
      <w:tblPr/>
    </w:tblStylePr>
    <w:tblStylePr w:type="firstCol">
      <w:pPr>
        <w:jc w:val="right"/>
      </w:pPr>
      <w:rPr>
        <w:i/>
        <w:color w:val="254374" w:themeColor="accent1" w:themeShade="95"/>
        <w:sz w:val="22"/>
      </w:rPr>
      <w:tbl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i/>
        <w:color w:val="254374" w:themeColor="accent1" w:themeShade="95"/>
        <w:sz w:val="22"/>
      </w:rPr>
      <w:tblPr/>
      <w:tcPr>
        <w:tcBorders>
          <w:top w:val="none" w:color="000000" w:sz="4" w:space="0"/>
          <w:left w:val="none" w:color="000000" w:sz="4" w:space="0"/>
          <w:bottom w:val="single" w:color="000000" w:themeColor="accent1" w:sz="4" w:space="0"/>
          <w:right w:val="none" w:color="000000" w:sz="4" w:space="0"/>
        </w:tcBorders>
        <w:shd w:val="clear" w:color="FFFFFF" w:fill="FFFFFF" w:themeFill="light1"/>
      </w:tcPr>
    </w:tblStylePr>
    <w:tblStylePr w:type="lastCol">
      <w:rPr>
        <w:i/>
        <w:color w:val="254374" w:themeColor="accent1" w:themeShade="95"/>
        <w:sz w:val="22"/>
      </w:rPr>
      <w:tbl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i/>
        <w:color w:val="254374" w:themeColor="accent1" w:themeShade="95"/>
        <w:sz w:val="22"/>
      </w:rPr>
      <w:tblPr/>
      <w:tcPr>
        <w:tcBorders>
          <w:top w:val="single" w:color="000000" w:themeColor="accent1" w:sz="4" w:space="0"/>
          <w:left w:val="none" w:color="000000" w:sz="4" w:space="0"/>
          <w:bottom w:val="none" w:color="000000" w:sz="4" w:space="0"/>
          <w:right w:val="none" w:color="000000" w:sz="4" w:space="0"/>
        </w:tcBorders>
        <w:shd w:val="clear" w:color="FFFFFF" w:fill="FFFFFF" w:themeFill="light1"/>
      </w:tcPr>
    </w:tblStylePr>
    <w:tblStylePr w:type="wholeTable">
      <w:rPr>
        <w:color w:val="254374" w:themeColor="accent1" w:themeShade="95"/>
        <w:sz w:val="22"/>
      </w:rPr>
      <w:tblPr/>
    </w:tblStylePr>
  </w:style>
  <w:style w:type="table" w:styleId="1377">
    <w:name w:val="List Table 7 Colorful - Accent 2"/>
    <w:basedOn w:val="1481"/>
    <w:uiPriority w:val="99"/>
    <w:pPr>
      <w:spacing w:after="0" w:line="240" w:lineRule="auto"/>
    </w:pPr>
    <w:tblPr>
      <w:tblStyleRowBandSize w:val="1"/>
      <w:tblStyleColBandSize w:val="1"/>
      <w:tblBorders>
        <w:right w:val="single" w:color="000000" w:themeColor="accent2" w:themeTint="97" w:sz="4" w:space="0"/>
      </w:tblBorders>
    </w:tblPr>
    <w:tblStylePr w:type="band1Horz">
      <w:rPr>
        <w:color w:val="C95712"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val="C95712" w:themeColor="accent2" w:themeTint="97" w:themeShade="95"/>
        <w:sz w:val="22"/>
      </w:rPr>
      <w:tblPr/>
    </w:tblStylePr>
    <w:tblStylePr w:type="firstCol">
      <w:pPr>
        <w:jc w:val="right"/>
      </w:pPr>
      <w:rPr>
        <w:i/>
        <w:color w:val="C95712" w:themeColor="accent2" w:themeTint="97" w:themeShade="95"/>
        <w:sz w:val="22"/>
      </w:rPr>
      <w:tblPr/>
      <w:tcPr>
        <w:tcBorders>
          <w:top w:val="none" w:color="000000" w:sz="4" w:space="0"/>
          <w:left w:val="none" w:color="000000" w:sz="4" w:space="0"/>
          <w:bottom w:val="none" w:color="000000" w:sz="4" w:space="0"/>
          <w:right w:val="single" w:color="000000" w:themeColor="accent2" w:sz="4" w:space="0"/>
        </w:tcBorders>
        <w:shd w:val="clear" w:color="FFFFFF"/>
      </w:tcPr>
    </w:tblStylePr>
    <w:tblStylePr w:type="firstRow">
      <w:rPr>
        <w:i/>
        <w:color w:val="C95712" w:themeColor="accent2" w:themeTint="97" w:themeShade="95"/>
        <w:sz w:val="22"/>
      </w:rPr>
      <w:tblPr/>
      <w:tcPr>
        <w:tcBorders>
          <w:top w:val="none" w:color="000000" w:sz="4" w:space="0"/>
          <w:left w:val="none" w:color="000000" w:sz="4" w:space="0"/>
          <w:bottom w:val="single" w:color="000000" w:themeColor="accent2" w:sz="4" w:space="0"/>
          <w:right w:val="none" w:color="000000" w:sz="4" w:space="0"/>
        </w:tcBorders>
        <w:shd w:val="clear" w:color="FFFFFF" w:fill="FFFFFF" w:themeFill="light1"/>
      </w:tcPr>
    </w:tblStylePr>
    <w:tblStylePr w:type="lastCol">
      <w:rPr>
        <w:i/>
        <w:color w:val="C95712" w:themeColor="accent2" w:themeTint="97" w:themeShade="95"/>
        <w:sz w:val="22"/>
      </w:rPr>
      <w:tblPr/>
      <w:tcPr>
        <w:tcBorders>
          <w:top w:val="none" w:color="000000" w:sz="4" w:space="0"/>
          <w:left w:val="single" w:color="000000" w:themeColor="accent2" w:sz="4" w:space="0"/>
          <w:bottom w:val="none" w:color="000000" w:sz="4" w:space="0"/>
          <w:right w:val="none" w:color="000000" w:sz="4" w:space="0"/>
        </w:tcBorders>
        <w:shd w:val="clear" w:color="FFFFFF"/>
      </w:tcPr>
    </w:tblStylePr>
    <w:tblStylePr w:type="lastRow">
      <w:rPr>
        <w:i/>
        <w:color w:val="C95712" w:themeColor="accent2" w:themeTint="97" w:themeShade="95"/>
        <w:sz w:val="22"/>
      </w:rPr>
      <w:tblPr/>
      <w:tcPr>
        <w:tcBorders>
          <w:top w:val="single" w:color="000000" w:themeColor="accent2" w:sz="4" w:space="0"/>
          <w:left w:val="none" w:color="000000" w:sz="4" w:space="0"/>
          <w:bottom w:val="none" w:color="000000" w:sz="4" w:space="0"/>
          <w:right w:val="none" w:color="000000" w:sz="4" w:space="0"/>
        </w:tcBorders>
        <w:shd w:val="clear" w:color="FFFFFF" w:fill="FFFFFF" w:themeFill="light1"/>
      </w:tcPr>
    </w:tblStylePr>
    <w:tblStylePr w:type="wholeTable">
      <w:rPr>
        <w:color w:val="C95712" w:themeColor="accent2" w:themeTint="97" w:themeShade="95"/>
        <w:sz w:val="22"/>
      </w:rPr>
      <w:tblPr/>
    </w:tblStylePr>
  </w:style>
  <w:style w:type="table" w:styleId="1378">
    <w:name w:val="List Table 7 Colorful - Accent 3"/>
    <w:basedOn w:val="1481"/>
    <w:uiPriority w:val="99"/>
    <w:pPr>
      <w:spacing w:after="0" w:line="240" w:lineRule="auto"/>
    </w:pPr>
    <w:tblPr>
      <w:tblStyleRowBandSize w:val="1"/>
      <w:tblStyleColBandSize w:val="1"/>
      <w:tblBorders>
        <w:right w:val="single" w:color="000000" w:themeColor="accent3" w:themeTint="98" w:sz="4" w:space="0"/>
      </w:tblBorders>
    </w:tblPr>
    <w:tblStylePr w:type="band1Horz">
      <w:rPr>
        <w:color w:val="757575"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val="757575" w:themeColor="accent3" w:themeTint="98" w:themeShade="95"/>
        <w:sz w:val="22"/>
      </w:rPr>
      <w:tblPr/>
    </w:tblStylePr>
    <w:tblStylePr w:type="firstCol">
      <w:pPr>
        <w:jc w:val="right"/>
      </w:pPr>
      <w:rPr>
        <w:i/>
        <w:color w:val="757575" w:themeColor="accent3" w:themeTint="98" w:themeShade="95"/>
        <w:sz w:val="22"/>
      </w:rPr>
      <w:tblPr/>
      <w:tcPr>
        <w:tcBorders>
          <w:top w:val="none" w:color="000000" w:sz="4" w:space="0"/>
          <w:left w:val="none" w:color="000000" w:sz="4" w:space="0"/>
          <w:bottom w:val="none" w:color="000000" w:sz="4" w:space="0"/>
          <w:right w:val="single" w:color="000000" w:themeColor="accent3" w:sz="4" w:space="0"/>
        </w:tcBorders>
        <w:shd w:val="clear" w:color="FFFFFF"/>
      </w:tcPr>
    </w:tblStylePr>
    <w:tblStylePr w:type="firstRow">
      <w:rPr>
        <w:i/>
        <w:color w:val="757575" w:themeColor="accent3" w:themeTint="98" w:themeShade="95"/>
        <w:sz w:val="22"/>
      </w:rPr>
      <w:tblPr/>
      <w:tcPr>
        <w:tcBorders>
          <w:top w:val="none" w:color="000000" w:sz="4" w:space="0"/>
          <w:left w:val="none" w:color="000000" w:sz="4" w:space="0"/>
          <w:bottom w:val="single" w:color="000000" w:themeColor="accent3" w:sz="4" w:space="0"/>
          <w:right w:val="none" w:color="000000" w:sz="4" w:space="0"/>
        </w:tcBorders>
        <w:shd w:val="clear" w:color="FFFFFF" w:fill="FFFFFF" w:themeFill="light1"/>
      </w:tcPr>
    </w:tblStylePr>
    <w:tblStylePr w:type="lastCol">
      <w:rPr>
        <w:i/>
        <w:color w:val="757575" w:themeColor="accent3" w:themeTint="98" w:themeShade="95"/>
        <w:sz w:val="22"/>
      </w:rPr>
      <w:tblPr/>
      <w:tcPr>
        <w:tcBorders>
          <w:top w:val="none" w:color="000000" w:sz="4" w:space="0"/>
          <w:left w:val="single" w:color="000000" w:themeColor="accent3" w:sz="4" w:space="0"/>
          <w:bottom w:val="none" w:color="000000" w:sz="4" w:space="0"/>
          <w:right w:val="none" w:color="000000" w:sz="4" w:space="0"/>
        </w:tcBorders>
        <w:shd w:val="clear" w:color="FFFFFF"/>
      </w:tcPr>
    </w:tblStylePr>
    <w:tblStylePr w:type="lastRow">
      <w:rPr>
        <w:i/>
        <w:color w:val="757575" w:themeColor="accent3" w:themeTint="98" w:themeShade="95"/>
        <w:sz w:val="22"/>
      </w:rPr>
      <w:tblPr/>
      <w:tcPr>
        <w:tcBorders>
          <w:top w:val="single" w:color="000000" w:themeColor="accent3" w:sz="4" w:space="0"/>
          <w:left w:val="none" w:color="000000" w:sz="4" w:space="0"/>
          <w:bottom w:val="none" w:color="000000" w:sz="4" w:space="0"/>
          <w:right w:val="none" w:color="000000" w:sz="4" w:space="0"/>
        </w:tcBorders>
        <w:shd w:val="clear" w:color="FFFFFF" w:fill="FFFFFF" w:themeFill="light1"/>
      </w:tcPr>
    </w:tblStylePr>
    <w:tblStylePr w:type="wholeTable">
      <w:rPr>
        <w:color w:val="757575" w:themeColor="accent3" w:themeTint="98" w:themeShade="95"/>
        <w:sz w:val="22"/>
      </w:rPr>
      <w:tblPr/>
    </w:tblStylePr>
  </w:style>
  <w:style w:type="table" w:styleId="1379">
    <w:name w:val="List Table 7 Colorful - Accent 4"/>
    <w:basedOn w:val="1481"/>
    <w:uiPriority w:val="99"/>
    <w:pPr>
      <w:spacing w:after="0" w:line="240" w:lineRule="auto"/>
    </w:pPr>
    <w:tblPr>
      <w:tblStyleRowBandSize w:val="1"/>
      <w:tblStyleColBandSize w:val="1"/>
      <w:tblBorders>
        <w:right w:val="single" w:color="000000" w:themeColor="accent4" w:themeTint="9a" w:sz="4" w:space="0"/>
      </w:tblBorders>
    </w:tblPr>
    <w:tblStylePr w:type="band1Horz">
      <w:rPr>
        <w:color w:val="CD9600"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val="CD9600" w:themeColor="accent4" w:themeTint="9a" w:themeShade="95"/>
        <w:sz w:val="22"/>
      </w:rPr>
      <w:tblPr/>
    </w:tblStylePr>
    <w:tblStylePr w:type="firstCol">
      <w:pPr>
        <w:jc w:val="right"/>
      </w:pPr>
      <w:rPr>
        <w:i/>
        <w:color w:val="CD9600" w:themeColor="accent4" w:themeTint="9a" w:themeShade="95"/>
        <w:sz w:val="22"/>
      </w:rPr>
      <w:tblPr/>
      <w:tcPr>
        <w:tcBorders>
          <w:top w:val="none" w:color="000000" w:sz="4" w:space="0"/>
          <w:left w:val="none" w:color="000000" w:sz="4" w:space="0"/>
          <w:bottom w:val="none" w:color="000000" w:sz="4" w:space="0"/>
          <w:right w:val="single" w:color="000000" w:themeColor="accent4" w:sz="4" w:space="0"/>
        </w:tcBorders>
        <w:shd w:val="clear" w:color="FFFFFF"/>
      </w:tcPr>
    </w:tblStylePr>
    <w:tblStylePr w:type="firstRow">
      <w:rPr>
        <w:i/>
        <w:color w:val="CD9600" w:themeColor="accent4" w:themeTint="9a" w:themeShade="95"/>
        <w:sz w:val="22"/>
      </w:rPr>
      <w:tblPr/>
      <w:tcPr>
        <w:tcBorders>
          <w:top w:val="none" w:color="000000" w:sz="4" w:space="0"/>
          <w:left w:val="none" w:color="000000" w:sz="4" w:space="0"/>
          <w:bottom w:val="single" w:color="000000" w:themeColor="accent4" w:sz="4" w:space="0"/>
          <w:right w:val="none" w:color="000000" w:sz="4" w:space="0"/>
        </w:tcBorders>
        <w:shd w:val="clear" w:color="FFFFFF" w:fill="FFFFFF" w:themeFill="light1"/>
      </w:tcPr>
    </w:tblStylePr>
    <w:tblStylePr w:type="lastCol">
      <w:rPr>
        <w:i/>
        <w:color w:val="CD9600" w:themeColor="accent4" w:themeTint="9a" w:themeShade="95"/>
        <w:sz w:val="22"/>
      </w:rPr>
      <w:tblPr/>
      <w:tcPr>
        <w:tcBorders>
          <w:top w:val="none" w:color="000000" w:sz="4" w:space="0"/>
          <w:left w:val="single" w:color="000000" w:themeColor="accent4" w:sz="4" w:space="0"/>
          <w:bottom w:val="none" w:color="000000" w:sz="4" w:space="0"/>
          <w:right w:val="none" w:color="000000" w:sz="4" w:space="0"/>
        </w:tcBorders>
        <w:shd w:val="clear" w:color="FFFFFF"/>
      </w:tcPr>
    </w:tblStylePr>
    <w:tblStylePr w:type="lastRow">
      <w:rPr>
        <w:i/>
        <w:color w:val="CD9600" w:themeColor="accent4" w:themeTint="9a" w:themeShade="95"/>
        <w:sz w:val="22"/>
      </w:rPr>
      <w:tblPr/>
      <w:tcPr>
        <w:tcBorders>
          <w:top w:val="single" w:color="000000" w:themeColor="accent4" w:sz="4" w:space="0"/>
          <w:left w:val="none" w:color="000000" w:sz="4" w:space="0"/>
          <w:bottom w:val="none" w:color="000000" w:sz="4" w:space="0"/>
          <w:right w:val="none" w:color="000000" w:sz="4" w:space="0"/>
        </w:tcBorders>
        <w:shd w:val="clear" w:color="FFFFFF" w:fill="FFFFFF" w:themeFill="light1"/>
      </w:tcPr>
    </w:tblStylePr>
    <w:tblStylePr w:type="wholeTable">
      <w:rPr>
        <w:color w:val="CD9600" w:themeColor="accent4" w:themeTint="9a" w:themeShade="95"/>
        <w:sz w:val="22"/>
      </w:rPr>
      <w:tblPr/>
    </w:tblStylePr>
  </w:style>
  <w:style w:type="table" w:styleId="1380">
    <w:name w:val="List Table 7 Colorful - Accent 5"/>
    <w:basedOn w:val="1481"/>
    <w:uiPriority w:val="99"/>
    <w:pPr>
      <w:spacing w:after="0" w:line="240" w:lineRule="auto"/>
    </w:pPr>
    <w:tblPr>
      <w:tblStyleRowBandSize w:val="1"/>
      <w:tblStyleColBandSize w:val="1"/>
      <w:tblBorders>
        <w:right w:val="single" w:color="000000" w:themeColor="accent5" w:themeTint="9a" w:sz="4" w:space="0"/>
      </w:tblBorders>
    </w:tblPr>
    <w:tblStylePr w:type="band1Horz">
      <w:rPr>
        <w:color w:val="2E78B1" w:themeColor="accent5" w:themeTint="9a" w:themeShade="95"/>
        <w:sz w:val="22"/>
      </w:rPr>
      <w:tblPr/>
      <w:tcPr>
        <w:shd w:val="clear" w:color="FFFFFF" w:fill="D5E6F4" w:themeFill="accent5" w:themeFillTint="40"/>
      </w:tcPr>
    </w:tblStylePr>
    <w:tblStylePr w:type="band1Vert">
      <w:tblPr/>
      <w:tcPr>
        <w:shd w:val="clear" w:color="FFFFFF" w:fill="D5E6F4" w:themeFill="accent5" w:themeFillTint="40"/>
      </w:tcPr>
    </w:tblStylePr>
    <w:tblStylePr w:type="band2Horz">
      <w:rPr>
        <w:color w:val="2E78B1" w:themeColor="accent5" w:themeTint="9a" w:themeShade="95"/>
        <w:sz w:val="22"/>
      </w:rPr>
      <w:tblPr/>
    </w:tblStylePr>
    <w:tblStylePr w:type="firstCol">
      <w:pPr>
        <w:jc w:val="right"/>
      </w:pPr>
      <w:rPr>
        <w:i/>
        <w:color w:val="2E78B1" w:themeColor="accent5" w:themeTint="9a" w:themeShade="95"/>
        <w:sz w:val="22"/>
      </w:rPr>
      <w:tblPr/>
      <w:tcPr>
        <w:tcBorders>
          <w:top w:val="none" w:color="000000" w:sz="4" w:space="0"/>
          <w:left w:val="none" w:color="000000" w:sz="4" w:space="0"/>
          <w:bottom w:val="none" w:color="000000" w:sz="4" w:space="0"/>
          <w:right w:val="single" w:color="000000" w:themeColor="accent5" w:sz="4" w:space="0"/>
        </w:tcBorders>
        <w:shd w:val="clear" w:color="FFFFFF"/>
      </w:tcPr>
    </w:tblStylePr>
    <w:tblStylePr w:type="firstRow">
      <w:rPr>
        <w:i/>
        <w:color w:val="2E78B1" w:themeColor="accent5" w:themeTint="9a" w:themeShade="95"/>
        <w:sz w:val="22"/>
      </w:rPr>
      <w:tblPr/>
      <w:tcPr>
        <w:tcBorders>
          <w:top w:val="none" w:color="000000" w:sz="4" w:space="0"/>
          <w:left w:val="none" w:color="000000" w:sz="4" w:space="0"/>
          <w:bottom w:val="single" w:color="000000" w:themeColor="accent5" w:sz="4" w:space="0"/>
          <w:right w:val="none" w:color="000000" w:sz="4" w:space="0"/>
        </w:tcBorders>
        <w:shd w:val="clear" w:color="FFFFFF" w:fill="FFFFFF" w:themeFill="light1"/>
      </w:tcPr>
    </w:tblStylePr>
    <w:tblStylePr w:type="lastCol">
      <w:rPr>
        <w:i/>
        <w:color w:val="2E78B1" w:themeColor="accent5" w:themeTint="9a" w:themeShade="95"/>
        <w:sz w:val="22"/>
      </w:rPr>
      <w:tblPr/>
      <w:tcPr>
        <w:tcBorders>
          <w:top w:val="none" w:color="000000" w:sz="4" w:space="0"/>
          <w:left w:val="single" w:color="000000" w:themeColor="accent5" w:sz="4" w:space="0"/>
          <w:bottom w:val="none" w:color="000000" w:sz="4" w:space="0"/>
          <w:right w:val="none" w:color="000000" w:sz="4" w:space="0"/>
        </w:tcBorders>
        <w:shd w:val="clear" w:color="FFFFFF"/>
      </w:tcPr>
    </w:tblStylePr>
    <w:tblStylePr w:type="lastRow">
      <w:rPr>
        <w:i/>
        <w:color w:val="2E78B1" w:themeColor="accent5" w:themeTint="9a" w:themeShade="95"/>
        <w:sz w:val="22"/>
      </w:rPr>
      <w:tblPr/>
      <w:tcPr>
        <w:tcBorders>
          <w:top w:val="single" w:color="000000" w:themeColor="accent5" w:sz="4" w:space="0"/>
          <w:left w:val="none" w:color="000000" w:sz="4" w:space="0"/>
          <w:bottom w:val="none" w:color="000000" w:sz="4" w:space="0"/>
          <w:right w:val="none" w:color="000000" w:sz="4" w:space="0"/>
        </w:tcBorders>
        <w:shd w:val="clear" w:color="FFFFFF" w:fill="FFFFFF" w:themeFill="light1"/>
      </w:tcPr>
    </w:tblStylePr>
    <w:tblStylePr w:type="wholeTable">
      <w:rPr>
        <w:color w:val="2E78B1" w:themeColor="accent5" w:themeTint="9a" w:themeShade="95"/>
        <w:sz w:val="22"/>
      </w:rPr>
      <w:tblPr/>
    </w:tblStylePr>
  </w:style>
  <w:style w:type="table" w:styleId="1381">
    <w:name w:val="List Table 7 Colorful - Accent 6"/>
    <w:basedOn w:val="1481"/>
    <w:uiPriority w:val="99"/>
    <w:pPr>
      <w:spacing w:after="0" w:line="240" w:lineRule="auto"/>
    </w:pPr>
    <w:tblPr>
      <w:tblStyleRowBandSize w:val="1"/>
      <w:tblStyleColBandSize w:val="1"/>
      <w:tblBorders>
        <w:right w:val="single" w:color="000000" w:themeColor="accent6" w:themeTint="98" w:sz="4" w:space="0"/>
      </w:tblBorders>
    </w:tblPr>
    <w:tblStylePr w:type="band1Horz">
      <w:rPr>
        <w:color w:val="5F8F3C" w:themeColor="accent6" w:themeTint="98" w:themeShade="95"/>
        <w:sz w:val="22"/>
      </w:rPr>
      <w:tblPr/>
      <w:tcPr>
        <w:shd w:val="clear" w:color="FFFFFF" w:fill="DBEBD0" w:themeFill="accent6" w:themeFillTint="40"/>
      </w:tcPr>
    </w:tblStylePr>
    <w:tblStylePr w:type="band1Vert">
      <w:tblPr/>
      <w:tcPr>
        <w:shd w:val="clear" w:color="FFFFFF" w:fill="DBEBD0" w:themeFill="accent6" w:themeFillTint="40"/>
      </w:tcPr>
    </w:tblStylePr>
    <w:tblStylePr w:type="band2Horz">
      <w:rPr>
        <w:color w:val="5F8F3C" w:themeColor="accent6" w:themeTint="98" w:themeShade="95"/>
        <w:sz w:val="22"/>
      </w:rPr>
      <w:tblPr/>
    </w:tblStylePr>
    <w:tblStylePr w:type="firstCol">
      <w:pPr>
        <w:jc w:val="right"/>
      </w:pPr>
      <w:rPr>
        <w:i/>
        <w:color w:val="5F8F3C" w:themeColor="accent6" w:themeTint="98" w:themeShade="95"/>
        <w:sz w:val="22"/>
      </w:rPr>
      <w:tblPr/>
      <w:tcPr>
        <w:tcBorders>
          <w:top w:val="none" w:color="000000" w:sz="4" w:space="0"/>
          <w:left w:val="none" w:color="000000" w:sz="4" w:space="0"/>
          <w:bottom w:val="none" w:color="000000" w:sz="4" w:space="0"/>
          <w:right w:val="single" w:color="000000" w:themeColor="accent6" w:sz="4" w:space="0"/>
        </w:tcBorders>
        <w:shd w:val="clear" w:color="FFFFFF"/>
      </w:tcPr>
    </w:tblStylePr>
    <w:tblStylePr w:type="firstRow">
      <w:rPr>
        <w:i/>
        <w:color w:val="5F8F3C" w:themeColor="accent6" w:themeTint="98" w:themeShade="95"/>
        <w:sz w:val="22"/>
      </w:rPr>
      <w:tblPr/>
      <w:tcPr>
        <w:tcBorders>
          <w:top w:val="none" w:color="000000" w:sz="4" w:space="0"/>
          <w:left w:val="none" w:color="000000" w:sz="4" w:space="0"/>
          <w:bottom w:val="single" w:color="000000" w:themeColor="accent6" w:sz="4" w:space="0"/>
          <w:right w:val="none" w:color="000000" w:sz="4" w:space="0"/>
        </w:tcBorders>
        <w:shd w:val="clear" w:color="FFFFFF" w:fill="FFFFFF" w:themeFill="light1"/>
      </w:tcPr>
    </w:tblStylePr>
    <w:tblStylePr w:type="lastCol">
      <w:rPr>
        <w:i/>
        <w:color w:val="5F8F3C" w:themeColor="accent6" w:themeTint="98" w:themeShade="95"/>
        <w:sz w:val="22"/>
      </w:rPr>
      <w:tblPr/>
      <w:tcPr>
        <w:tcBorders>
          <w:top w:val="none" w:color="000000" w:sz="4" w:space="0"/>
          <w:left w:val="single" w:color="000000" w:themeColor="accent6" w:sz="4" w:space="0"/>
          <w:bottom w:val="none" w:color="000000" w:sz="4" w:space="0"/>
          <w:right w:val="none" w:color="000000" w:sz="4" w:space="0"/>
        </w:tcBorders>
        <w:shd w:val="clear" w:color="FFFFFF"/>
      </w:tcPr>
    </w:tblStylePr>
    <w:tblStylePr w:type="lastRow">
      <w:rPr>
        <w:i/>
        <w:color w:val="5F8F3C" w:themeColor="accent6" w:themeTint="98" w:themeShade="95"/>
        <w:sz w:val="22"/>
      </w:rPr>
      <w:tblPr/>
      <w:tcPr>
        <w:tcBorders>
          <w:top w:val="single" w:color="000000" w:themeColor="accent6" w:sz="4" w:space="0"/>
          <w:left w:val="none" w:color="000000" w:sz="4" w:space="0"/>
          <w:bottom w:val="none" w:color="000000" w:sz="4" w:space="0"/>
          <w:right w:val="none" w:color="000000" w:sz="4" w:space="0"/>
        </w:tcBorders>
        <w:shd w:val="clear" w:color="FFFFFF" w:fill="FFFFFF" w:themeFill="light1"/>
      </w:tcPr>
    </w:tblStylePr>
    <w:tblStylePr w:type="wholeTable">
      <w:rPr>
        <w:color w:val="5F8F3C" w:themeColor="accent6" w:themeTint="98" w:themeShade="95"/>
        <w:sz w:val="22"/>
      </w:rPr>
      <w:tblPr/>
    </w:tblStylePr>
  </w:style>
  <w:style w:type="table" w:styleId="1382">
    <w:name w:val="Lined - Accent"/>
    <w:basedOn w:val="1481"/>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1383">
    <w:name w:val="Lined - Accent 1"/>
    <w:basedOn w:val="1481"/>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3D3EC" w:themeFill="accent1" w:themeFillTint="50"/>
      </w:tcPr>
    </w:tblStylePr>
    <w:tblStylePr w:type="band2Vert">
      <w:rPr>
        <w:color w:val="404040"/>
        <w:sz w:val="22"/>
      </w:rPr>
      <w:tblPr/>
      <w:tcPr>
        <w:shd w:val="clear" w:color="FFFFFF" w:fill="C3D3EC" w:themeFill="accent1" w:themeFillTint="50"/>
      </w:tcPr>
    </w:tblStylePr>
    <w:tblStylePr w:type="firstCol">
      <w:rPr>
        <w:color w:val="F2F2F2"/>
        <w:sz w:val="22"/>
      </w:rPr>
      <w:tblPr/>
      <w:tcPr>
        <w:shd w:val="clear" w:color="FFFFFF" w:fill="537FC8" w:themeFill="accent1" w:themeFillTint="ea"/>
      </w:tcPr>
    </w:tblStylePr>
    <w:tblStylePr w:type="firstRow">
      <w:rPr>
        <w:color w:val="F2F2F2"/>
        <w:sz w:val="22"/>
      </w:rPr>
      <w:tblPr/>
      <w:tcPr>
        <w:shd w:val="clear" w:color="FFFFFF" w:fill="537FC8" w:themeFill="accent1" w:themeFillTint="ea"/>
      </w:tcPr>
    </w:tblStylePr>
    <w:tblStylePr w:type="lastCol">
      <w:rPr>
        <w:color w:val="F2F2F2"/>
        <w:sz w:val="22"/>
      </w:rPr>
      <w:tblPr/>
      <w:tcPr>
        <w:shd w:val="clear" w:color="FFFFFF" w:fill="537FC8" w:themeFill="accent1" w:themeFillTint="ea"/>
      </w:tcPr>
    </w:tblStylePr>
    <w:tblStylePr w:type="lastRow">
      <w:rPr>
        <w:color w:val="F2F2F2"/>
        <w:sz w:val="22"/>
      </w:rPr>
      <w:tblPr/>
      <w:tcPr>
        <w:shd w:val="clear" w:color="FFFFFF" w:fill="537FC8" w:themeFill="accent1" w:themeFillTint="ea"/>
      </w:tcPr>
    </w:tblStylePr>
  </w:style>
  <w:style w:type="table" w:styleId="1384">
    <w:name w:val="Lined - Accent 2"/>
    <w:basedOn w:val="1481"/>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BE5D6" w:themeFill="accent2" w:themeFillTint="32"/>
      </w:tcPr>
    </w:tblStylePr>
    <w:tblStylePr w:type="band2Vert">
      <w:rPr>
        <w:color w:val="404040"/>
        <w:sz w:val="22"/>
      </w:rPr>
      <w:tblPr/>
      <w:tcPr>
        <w:shd w:val="clear" w:color="FFFFFF" w:fill="FBE5D6" w:themeFill="accent2" w:themeFillTint="32"/>
      </w:tcPr>
    </w:tblStylePr>
    <w:tblStylePr w:type="firstCol">
      <w:rPr>
        <w:color w:val="F2F2F2"/>
        <w:sz w:val="22"/>
      </w:rPr>
      <w:tblPr/>
      <w:tcPr>
        <w:shd w:val="clear" w:color="FFFFFF" w:fill="F4B185" w:themeFill="accent2" w:themeFillTint="97"/>
      </w:tcPr>
    </w:tblStylePr>
    <w:tblStylePr w:type="firstRow">
      <w:rPr>
        <w:color w:val="F2F2F2"/>
        <w:sz w:val="22"/>
      </w:rPr>
      <w:tblPr/>
      <w:tcPr>
        <w:shd w:val="clear" w:color="FFFFFF" w:fill="F4B185" w:themeFill="accent2" w:themeFillTint="97"/>
      </w:tcPr>
    </w:tblStylePr>
    <w:tblStylePr w:type="lastCol">
      <w:rPr>
        <w:color w:val="F2F2F2"/>
        <w:sz w:val="22"/>
      </w:rPr>
      <w:tblPr/>
      <w:tcPr>
        <w:shd w:val="clear" w:color="FFFFFF" w:fill="F4B185" w:themeFill="accent2" w:themeFillTint="97"/>
      </w:tcPr>
    </w:tblStylePr>
    <w:tblStylePr w:type="lastRow">
      <w:rPr>
        <w:color w:val="F2F2F2"/>
        <w:sz w:val="22"/>
      </w:rPr>
      <w:tblPr/>
      <w:tcPr>
        <w:shd w:val="clear" w:color="FFFFFF" w:fill="F4B185" w:themeFill="accent2" w:themeFillTint="97"/>
      </w:tcPr>
    </w:tblStylePr>
  </w:style>
  <w:style w:type="table" w:styleId="1385">
    <w:name w:val="Lined - Accent 3"/>
    <w:basedOn w:val="1481"/>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DEDED" w:themeFill="accent3" w:themeFillTint="34"/>
      </w:tcPr>
    </w:tblStylePr>
    <w:tblStylePr w:type="band2Vert">
      <w:rPr>
        <w:color w:val="404040"/>
        <w:sz w:val="22"/>
      </w:rPr>
      <w:tblPr/>
      <w:tcPr>
        <w:shd w:val="clear" w:color="FFFFFF" w:fill="EDEDED" w:themeFill="accent3" w:themeFillTint="34"/>
      </w:tcPr>
    </w:tblStylePr>
    <w:tblStylePr w:type="firstCol">
      <w:rPr>
        <w:color w:val="F2F2F2"/>
        <w:sz w:val="22"/>
      </w:rPr>
      <w:tblPr/>
      <w:tcPr>
        <w:shd w:val="clear" w:color="FFFFFF" w:fill="A5A5A5" w:themeFill="accent3" w:themeFillTint="fe"/>
      </w:tcPr>
    </w:tblStylePr>
    <w:tblStylePr w:type="firstRow">
      <w:rPr>
        <w:color w:val="F2F2F2"/>
        <w:sz w:val="22"/>
      </w:rPr>
      <w:tblPr/>
      <w:tcPr>
        <w:shd w:val="clear" w:color="FFFFFF" w:fill="A5A5A5" w:themeFill="accent3" w:themeFillTint="fe"/>
      </w:tcPr>
    </w:tblStylePr>
    <w:tblStylePr w:type="lastCol">
      <w:rPr>
        <w:color w:val="F2F2F2"/>
        <w:sz w:val="22"/>
      </w:rPr>
      <w:tblPr/>
      <w:tcPr>
        <w:shd w:val="clear" w:color="FFFFFF" w:fill="A5A5A5" w:themeFill="accent3" w:themeFillTint="fe"/>
      </w:tcPr>
    </w:tblStylePr>
    <w:tblStylePr w:type="lastRow">
      <w:rPr>
        <w:color w:val="F2F2F2"/>
        <w:sz w:val="22"/>
      </w:rPr>
      <w:tblPr/>
      <w:tcPr>
        <w:shd w:val="clear" w:color="FFFFFF" w:fill="A5A5A5" w:themeFill="accent3" w:themeFillTint="fe"/>
      </w:tcPr>
    </w:tblStylePr>
  </w:style>
  <w:style w:type="table" w:styleId="1386">
    <w:name w:val="Lined - Accent 4"/>
    <w:basedOn w:val="1481"/>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EF2CB" w:themeFill="accent4" w:themeFillTint="34"/>
      </w:tcPr>
    </w:tblStylePr>
    <w:tblStylePr w:type="band2Vert">
      <w:rPr>
        <w:color w:val="404040"/>
        <w:sz w:val="22"/>
      </w:rPr>
      <w:tblPr/>
      <w:tcPr>
        <w:shd w:val="clear" w:color="FFFFFF" w:fill="FEF2CB" w:themeFill="accent4" w:themeFillTint="34"/>
      </w:tcPr>
    </w:tblStylePr>
    <w:tblStylePr w:type="firstCol">
      <w:rPr>
        <w:color w:val="F2F2F2"/>
        <w:sz w:val="22"/>
      </w:rPr>
      <w:tblPr/>
      <w:tcPr>
        <w:shd w:val="clear" w:color="FFFFFF" w:fill="FFD864" w:themeFill="accent4" w:themeFillTint="9a"/>
      </w:tcPr>
    </w:tblStylePr>
    <w:tblStylePr w:type="firstRow">
      <w:rPr>
        <w:color w:val="F2F2F2"/>
        <w:sz w:val="22"/>
      </w:rPr>
      <w:tblPr/>
      <w:tcPr>
        <w:shd w:val="clear" w:color="FFFFFF" w:fill="FFD864" w:themeFill="accent4" w:themeFillTint="9a"/>
      </w:tcPr>
    </w:tblStylePr>
    <w:tblStylePr w:type="lastCol">
      <w:rPr>
        <w:color w:val="F2F2F2"/>
        <w:sz w:val="22"/>
      </w:rPr>
      <w:tblPr/>
      <w:tcPr>
        <w:shd w:val="clear" w:color="FFFFFF" w:fill="FFD864" w:themeFill="accent4" w:themeFillTint="9a"/>
      </w:tcPr>
    </w:tblStylePr>
    <w:tblStylePr w:type="lastRow">
      <w:rPr>
        <w:color w:val="F2F2F2"/>
        <w:sz w:val="22"/>
      </w:rPr>
      <w:tblPr/>
      <w:tcPr>
        <w:shd w:val="clear" w:color="FFFFFF" w:fill="FFD864" w:themeFill="accent4" w:themeFillTint="9a"/>
      </w:tcPr>
    </w:tblStylePr>
  </w:style>
  <w:style w:type="table" w:styleId="1387">
    <w:name w:val="Lined - Accent 5"/>
    <w:basedOn w:val="1481"/>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DEBF6" w:themeFill="accent5" w:themeFillTint="34"/>
      </w:tcPr>
    </w:tblStylePr>
    <w:tblStylePr w:type="band2Vert">
      <w:rPr>
        <w:color w:val="404040"/>
        <w:sz w:val="22"/>
      </w:rPr>
      <w:tblPr/>
      <w:tcPr>
        <w:shd w:val="clear" w:color="FFFFFF" w:fill="DDEBF6" w:themeFill="accent5" w:themeFillTint="34"/>
      </w:tcPr>
    </w:tblStylePr>
    <w:tblStylePr w:type="firstCol">
      <w:rPr>
        <w:color w:val="F2F2F2"/>
        <w:sz w:val="22"/>
      </w:rPr>
      <w:tblPr/>
      <w:tcPr>
        <w:shd w:val="clear" w:color="FFFFFF" w:fill="5B9BD5" w:themeFill="accent5"/>
      </w:tcPr>
    </w:tblStylePr>
    <w:tblStylePr w:type="firstRow">
      <w:rPr>
        <w:color w:val="F2F2F2"/>
        <w:sz w:val="22"/>
      </w:rPr>
      <w:tblPr/>
      <w:tcPr>
        <w:shd w:val="clear" w:color="FFFFFF" w:fill="5B9BD5" w:themeFill="accent5"/>
      </w:tcPr>
    </w:tblStylePr>
    <w:tblStylePr w:type="lastCol">
      <w:rPr>
        <w:color w:val="F2F2F2"/>
        <w:sz w:val="22"/>
      </w:rPr>
      <w:tblPr/>
      <w:tcPr>
        <w:shd w:val="clear" w:color="FFFFFF" w:fill="5B9BD5" w:themeFill="accent5"/>
      </w:tcPr>
    </w:tblStylePr>
    <w:tblStylePr w:type="lastRow">
      <w:rPr>
        <w:color w:val="F2F2F2"/>
        <w:sz w:val="22"/>
      </w:rPr>
      <w:tblPr/>
      <w:tcPr>
        <w:shd w:val="clear" w:color="FFFFFF" w:fill="5B9BD5" w:themeFill="accent5"/>
      </w:tcPr>
    </w:tblStylePr>
  </w:style>
  <w:style w:type="table" w:styleId="1388">
    <w:name w:val="Lined - Accent 6"/>
    <w:basedOn w:val="1481"/>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2EFD8" w:themeFill="accent6" w:themeFillTint="34"/>
      </w:tcPr>
    </w:tblStylePr>
    <w:tblStylePr w:type="band2Vert">
      <w:rPr>
        <w:color w:val="404040"/>
        <w:sz w:val="22"/>
      </w:rPr>
      <w:tblPr/>
      <w:tcPr>
        <w:shd w:val="clear" w:color="FFFFFF" w:fill="E2EFD8" w:themeFill="accent6" w:themeFillTint="34"/>
      </w:tcPr>
    </w:tblStylePr>
    <w:tblStylePr w:type="firstCol">
      <w:rPr>
        <w:color w:val="F2F2F2"/>
        <w:sz w:val="22"/>
      </w:rPr>
      <w:tblPr/>
      <w:tcPr>
        <w:shd w:val="clear" w:color="FFFFFF" w:fill="70AD47" w:themeFill="accent6"/>
      </w:tcPr>
    </w:tblStylePr>
    <w:tblStylePr w:type="firstRow">
      <w:rPr>
        <w:color w:val="F2F2F2"/>
        <w:sz w:val="22"/>
      </w:rPr>
      <w:tblPr/>
      <w:tcPr>
        <w:shd w:val="clear" w:color="FFFFFF" w:fill="70AD47" w:themeFill="accent6"/>
      </w:tcPr>
    </w:tblStylePr>
    <w:tblStylePr w:type="lastCol">
      <w:rPr>
        <w:color w:val="F2F2F2"/>
        <w:sz w:val="22"/>
      </w:rPr>
      <w:tblPr/>
      <w:tcPr>
        <w:shd w:val="clear" w:color="FFFFFF" w:fill="70AD47" w:themeFill="accent6"/>
      </w:tcPr>
    </w:tblStylePr>
    <w:tblStylePr w:type="lastRow">
      <w:rPr>
        <w:color w:val="F2F2F2"/>
        <w:sz w:val="22"/>
      </w:rPr>
      <w:tblPr/>
      <w:tcPr>
        <w:shd w:val="clear" w:color="FFFFFF" w:fill="70AD47" w:themeFill="accent6"/>
      </w:tcPr>
    </w:tblStylePr>
  </w:style>
  <w:style w:type="table" w:styleId="1389">
    <w:name w:val="Bordered &amp; Lined - Accent"/>
    <w:basedOn w:val="1481"/>
    <w:uiPriority w:val="99"/>
    <w:pPr>
      <w:spacing w:after="0" w:line="240" w:lineRule="auto"/>
    </w:pPr>
    <w:rPr>
      <w:color w:val="404040"/>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1390">
    <w:name w:val="Bordered &amp; Lined - Accent 1"/>
    <w:basedOn w:val="1481"/>
    <w:uiPriority w:val="99"/>
    <w:pPr>
      <w:spacing w:after="0" w:line="240" w:lineRule="auto"/>
    </w:pPr>
    <w:rPr>
      <w:color w:val="404040"/>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3D3EC" w:themeFill="accent1" w:themeFillTint="50"/>
      </w:tcPr>
    </w:tblStylePr>
    <w:tblStylePr w:type="band2Vert">
      <w:rPr>
        <w:color w:val="404040"/>
        <w:sz w:val="22"/>
      </w:rPr>
      <w:tblPr/>
      <w:tcPr>
        <w:shd w:val="clear" w:color="FFFFFF" w:fill="C3D3EC" w:themeFill="accent1" w:themeFillTint="50"/>
      </w:tcPr>
    </w:tblStylePr>
    <w:tblStylePr w:type="firstCol">
      <w:rPr>
        <w:color w:val="F2F2F2"/>
        <w:sz w:val="22"/>
      </w:rPr>
      <w:tblPr/>
      <w:tcPr>
        <w:shd w:val="clear" w:color="FFFFFF" w:fill="537FC8" w:themeFill="accent1" w:themeFillTint="ea"/>
      </w:tcPr>
    </w:tblStylePr>
    <w:tblStylePr w:type="firstRow">
      <w:rPr>
        <w:color w:val="F2F2F2"/>
        <w:sz w:val="22"/>
      </w:rPr>
      <w:tblPr/>
      <w:tcPr>
        <w:shd w:val="clear" w:color="FFFFFF" w:fill="537FC8" w:themeFill="accent1" w:themeFillTint="ea"/>
      </w:tcPr>
    </w:tblStylePr>
    <w:tblStylePr w:type="lastCol">
      <w:rPr>
        <w:color w:val="F2F2F2"/>
        <w:sz w:val="22"/>
      </w:rPr>
      <w:tblPr/>
      <w:tcPr>
        <w:shd w:val="clear" w:color="FFFFFF" w:fill="537FC8" w:themeFill="accent1" w:themeFillTint="ea"/>
      </w:tcPr>
    </w:tblStylePr>
    <w:tblStylePr w:type="lastRow">
      <w:rPr>
        <w:color w:val="F2F2F2"/>
        <w:sz w:val="22"/>
      </w:rPr>
      <w:tblPr/>
      <w:tcPr>
        <w:shd w:val="clear" w:color="FFFFFF" w:fill="537FC8" w:themeFill="accent1" w:themeFillTint="ea"/>
      </w:tcPr>
    </w:tblStylePr>
  </w:style>
  <w:style w:type="table" w:styleId="1391">
    <w:name w:val="Bordered &amp; Lined - Accent 2"/>
    <w:basedOn w:val="1481"/>
    <w:uiPriority w:val="99"/>
    <w:pPr>
      <w:spacing w:after="0" w:line="240" w:lineRule="auto"/>
    </w:pPr>
    <w:rPr>
      <w:color w:val="404040"/>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BE5D6" w:themeFill="accent2" w:themeFillTint="32"/>
      </w:tcPr>
    </w:tblStylePr>
    <w:tblStylePr w:type="band2Vert">
      <w:rPr>
        <w:color w:val="404040"/>
        <w:sz w:val="22"/>
      </w:rPr>
      <w:tblPr/>
      <w:tcPr>
        <w:shd w:val="clear" w:color="FFFFFF" w:fill="FBE5D6" w:themeFill="accent2" w:themeFillTint="32"/>
      </w:tcPr>
    </w:tblStylePr>
    <w:tblStylePr w:type="firstCol">
      <w:rPr>
        <w:color w:val="F2F2F2"/>
        <w:sz w:val="22"/>
      </w:rPr>
      <w:tblPr/>
      <w:tcPr>
        <w:shd w:val="clear" w:color="FFFFFF" w:fill="F4B185" w:themeFill="accent2" w:themeFillTint="97"/>
      </w:tcPr>
    </w:tblStylePr>
    <w:tblStylePr w:type="firstRow">
      <w:rPr>
        <w:color w:val="F2F2F2"/>
        <w:sz w:val="22"/>
      </w:rPr>
      <w:tblPr/>
      <w:tcPr>
        <w:shd w:val="clear" w:color="FFFFFF" w:fill="F4B185" w:themeFill="accent2" w:themeFillTint="97"/>
      </w:tcPr>
    </w:tblStylePr>
    <w:tblStylePr w:type="lastCol">
      <w:rPr>
        <w:color w:val="F2F2F2"/>
        <w:sz w:val="22"/>
      </w:rPr>
      <w:tblPr/>
      <w:tcPr>
        <w:shd w:val="clear" w:color="FFFFFF" w:fill="F4B185" w:themeFill="accent2" w:themeFillTint="97"/>
      </w:tcPr>
    </w:tblStylePr>
    <w:tblStylePr w:type="lastRow">
      <w:rPr>
        <w:color w:val="F2F2F2"/>
        <w:sz w:val="22"/>
      </w:rPr>
      <w:tblPr/>
      <w:tcPr>
        <w:shd w:val="clear" w:color="FFFFFF" w:fill="F4B185" w:themeFill="accent2" w:themeFillTint="97"/>
      </w:tcPr>
    </w:tblStylePr>
  </w:style>
  <w:style w:type="table" w:styleId="1392">
    <w:name w:val="Bordered &amp; Lined - Accent 3"/>
    <w:basedOn w:val="1481"/>
    <w:uiPriority w:val="99"/>
    <w:pPr>
      <w:spacing w:after="0" w:line="240" w:lineRule="auto"/>
    </w:pPr>
    <w:rPr>
      <w:color w:val="404040"/>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DEDED" w:themeFill="accent3" w:themeFillTint="34"/>
      </w:tcPr>
    </w:tblStylePr>
    <w:tblStylePr w:type="band2Vert">
      <w:rPr>
        <w:color w:val="404040"/>
        <w:sz w:val="22"/>
      </w:rPr>
      <w:tblPr/>
      <w:tcPr>
        <w:shd w:val="clear" w:color="FFFFFF" w:fill="EDEDED" w:themeFill="accent3" w:themeFillTint="34"/>
      </w:tcPr>
    </w:tblStylePr>
    <w:tblStylePr w:type="firstCol">
      <w:rPr>
        <w:color w:val="F2F2F2"/>
        <w:sz w:val="22"/>
      </w:rPr>
      <w:tblPr/>
      <w:tcPr>
        <w:shd w:val="clear" w:color="FFFFFF" w:fill="A5A5A5" w:themeFill="accent3" w:themeFillTint="fe"/>
      </w:tcPr>
    </w:tblStylePr>
    <w:tblStylePr w:type="firstRow">
      <w:rPr>
        <w:color w:val="F2F2F2"/>
        <w:sz w:val="22"/>
      </w:rPr>
      <w:tblPr/>
      <w:tcPr>
        <w:shd w:val="clear" w:color="FFFFFF" w:fill="A5A5A5" w:themeFill="accent3" w:themeFillTint="fe"/>
      </w:tcPr>
    </w:tblStylePr>
    <w:tblStylePr w:type="lastCol">
      <w:rPr>
        <w:color w:val="F2F2F2"/>
        <w:sz w:val="22"/>
      </w:rPr>
      <w:tblPr/>
      <w:tcPr>
        <w:shd w:val="clear" w:color="FFFFFF" w:fill="A5A5A5" w:themeFill="accent3" w:themeFillTint="fe"/>
      </w:tcPr>
    </w:tblStylePr>
    <w:tblStylePr w:type="lastRow">
      <w:rPr>
        <w:color w:val="F2F2F2"/>
        <w:sz w:val="22"/>
      </w:rPr>
      <w:tblPr/>
      <w:tcPr>
        <w:shd w:val="clear" w:color="FFFFFF" w:fill="A5A5A5" w:themeFill="accent3" w:themeFillTint="fe"/>
      </w:tcPr>
    </w:tblStylePr>
  </w:style>
  <w:style w:type="table" w:styleId="1393">
    <w:name w:val="Bordered &amp; Lined - Accent 4"/>
    <w:basedOn w:val="1481"/>
    <w:uiPriority w:val="99"/>
    <w:pPr>
      <w:spacing w:after="0" w:line="240" w:lineRule="auto"/>
    </w:pPr>
    <w:rPr>
      <w:color w:val="404040"/>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EF2CB" w:themeFill="accent4" w:themeFillTint="34"/>
      </w:tcPr>
    </w:tblStylePr>
    <w:tblStylePr w:type="band2Vert">
      <w:rPr>
        <w:color w:val="404040"/>
        <w:sz w:val="22"/>
      </w:rPr>
      <w:tblPr/>
      <w:tcPr>
        <w:shd w:val="clear" w:color="FFFFFF" w:fill="FEF2CB" w:themeFill="accent4" w:themeFillTint="34"/>
      </w:tcPr>
    </w:tblStylePr>
    <w:tblStylePr w:type="firstCol">
      <w:rPr>
        <w:color w:val="F2F2F2"/>
        <w:sz w:val="22"/>
      </w:rPr>
      <w:tblPr/>
      <w:tcPr>
        <w:shd w:val="clear" w:color="FFFFFF" w:fill="FFD864" w:themeFill="accent4" w:themeFillTint="9a"/>
      </w:tcPr>
    </w:tblStylePr>
    <w:tblStylePr w:type="firstRow">
      <w:rPr>
        <w:color w:val="F2F2F2"/>
        <w:sz w:val="22"/>
      </w:rPr>
      <w:tblPr/>
      <w:tcPr>
        <w:shd w:val="clear" w:color="FFFFFF" w:fill="FFD864" w:themeFill="accent4" w:themeFillTint="9a"/>
      </w:tcPr>
    </w:tblStylePr>
    <w:tblStylePr w:type="lastCol">
      <w:rPr>
        <w:color w:val="F2F2F2"/>
        <w:sz w:val="22"/>
      </w:rPr>
      <w:tblPr/>
      <w:tcPr>
        <w:shd w:val="clear" w:color="FFFFFF" w:fill="FFD864" w:themeFill="accent4" w:themeFillTint="9a"/>
      </w:tcPr>
    </w:tblStylePr>
    <w:tblStylePr w:type="lastRow">
      <w:rPr>
        <w:color w:val="F2F2F2"/>
        <w:sz w:val="22"/>
      </w:rPr>
      <w:tblPr/>
      <w:tcPr>
        <w:shd w:val="clear" w:color="FFFFFF" w:fill="FFD864" w:themeFill="accent4" w:themeFillTint="9a"/>
      </w:tcPr>
    </w:tblStylePr>
  </w:style>
  <w:style w:type="table" w:styleId="1394">
    <w:name w:val="Bordered &amp; Lined - Accent 5"/>
    <w:basedOn w:val="1481"/>
    <w:uiPriority w:val="99"/>
    <w:pPr>
      <w:spacing w:after="0" w:line="240" w:lineRule="auto"/>
    </w:pPr>
    <w:rPr>
      <w:color w:val="404040"/>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DEBF6" w:themeFill="accent5" w:themeFillTint="34"/>
      </w:tcPr>
    </w:tblStylePr>
    <w:tblStylePr w:type="band2Vert">
      <w:rPr>
        <w:color w:val="404040"/>
        <w:sz w:val="22"/>
      </w:rPr>
      <w:tblPr/>
      <w:tcPr>
        <w:shd w:val="clear" w:color="FFFFFF" w:fill="DDEBF6" w:themeFill="accent5" w:themeFillTint="34"/>
      </w:tcPr>
    </w:tblStylePr>
    <w:tblStylePr w:type="firstCol">
      <w:rPr>
        <w:color w:val="F2F2F2"/>
        <w:sz w:val="22"/>
      </w:rPr>
      <w:tblPr/>
      <w:tcPr>
        <w:shd w:val="clear" w:color="FFFFFF" w:fill="5B9BD5" w:themeFill="accent5"/>
      </w:tcPr>
    </w:tblStylePr>
    <w:tblStylePr w:type="firstRow">
      <w:rPr>
        <w:color w:val="F2F2F2"/>
        <w:sz w:val="22"/>
      </w:rPr>
      <w:tblPr/>
      <w:tcPr>
        <w:shd w:val="clear" w:color="FFFFFF" w:fill="5B9BD5" w:themeFill="accent5"/>
      </w:tcPr>
    </w:tblStylePr>
    <w:tblStylePr w:type="lastCol">
      <w:rPr>
        <w:color w:val="F2F2F2"/>
        <w:sz w:val="22"/>
      </w:rPr>
      <w:tblPr/>
      <w:tcPr>
        <w:shd w:val="clear" w:color="FFFFFF" w:fill="5B9BD5" w:themeFill="accent5"/>
      </w:tcPr>
    </w:tblStylePr>
    <w:tblStylePr w:type="lastRow">
      <w:rPr>
        <w:color w:val="F2F2F2"/>
        <w:sz w:val="22"/>
      </w:rPr>
      <w:tblPr/>
      <w:tcPr>
        <w:shd w:val="clear" w:color="FFFFFF" w:fill="5B9BD5" w:themeFill="accent5"/>
      </w:tcPr>
    </w:tblStylePr>
  </w:style>
  <w:style w:type="table" w:styleId="1395">
    <w:name w:val="Bordered &amp; Lined - Accent 6"/>
    <w:basedOn w:val="1481"/>
    <w:uiPriority w:val="99"/>
    <w:pPr>
      <w:spacing w:after="0" w:line="240" w:lineRule="auto"/>
    </w:pPr>
    <w:rPr>
      <w:color w:val="404040"/>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2EFD8" w:themeFill="accent6" w:themeFillTint="34"/>
      </w:tcPr>
    </w:tblStylePr>
    <w:tblStylePr w:type="band2Vert">
      <w:rPr>
        <w:color w:val="404040"/>
        <w:sz w:val="22"/>
      </w:rPr>
      <w:tblPr/>
      <w:tcPr>
        <w:shd w:val="clear" w:color="FFFFFF" w:fill="E2EFD8" w:themeFill="accent6" w:themeFillTint="34"/>
      </w:tcPr>
    </w:tblStylePr>
    <w:tblStylePr w:type="firstCol">
      <w:rPr>
        <w:color w:val="F2F2F2"/>
        <w:sz w:val="22"/>
      </w:rPr>
      <w:tblPr/>
      <w:tcPr>
        <w:shd w:val="clear" w:color="FFFFFF" w:fill="70AD47" w:themeFill="accent6"/>
      </w:tcPr>
    </w:tblStylePr>
    <w:tblStylePr w:type="firstRow">
      <w:rPr>
        <w:color w:val="F2F2F2"/>
        <w:sz w:val="22"/>
      </w:rPr>
      <w:tblPr/>
      <w:tcPr>
        <w:shd w:val="clear" w:color="FFFFFF" w:fill="70AD47" w:themeFill="accent6"/>
      </w:tcPr>
    </w:tblStylePr>
    <w:tblStylePr w:type="lastCol">
      <w:rPr>
        <w:color w:val="F2F2F2"/>
        <w:sz w:val="22"/>
      </w:rPr>
      <w:tblPr/>
      <w:tcPr>
        <w:shd w:val="clear" w:color="FFFFFF" w:fill="70AD47" w:themeFill="accent6"/>
      </w:tcPr>
    </w:tblStylePr>
    <w:tblStylePr w:type="lastRow">
      <w:rPr>
        <w:color w:val="F2F2F2"/>
        <w:sz w:val="22"/>
      </w:rPr>
      <w:tblPr/>
      <w:tcPr>
        <w:shd w:val="clear" w:color="FFFFFF" w:fill="70AD47" w:themeFill="accent6"/>
      </w:tcPr>
    </w:tblStylePr>
  </w:style>
  <w:style w:type="table" w:styleId="1396">
    <w:name w:val="Bordered"/>
    <w:basedOn w:val="1481"/>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Pr/>
    </w:tblStylePr>
    <w:tblStylePr w:type="firstRow">
      <w:rPr>
        <w:color w:val="404040"/>
        <w:sz w:val="22"/>
      </w:rPr>
      <w:tblPr/>
      <w:tcPr>
        <w:tcBorders>
          <w:bottom w:val="single" w:color="000000" w:themeColor="text1" w:sz="12" w:space="0"/>
        </w:tcBorders>
      </w:tcPr>
    </w:tblStylePr>
    <w:tblStylePr w:type="lastCol">
      <w:rPr>
        <w:color w:val="404040"/>
        <w:sz w:val="22"/>
      </w:rPr>
      <w:tblPr/>
      <w:tcPr>
        <w:tcBorders>
          <w:left w:val="single" w:color="000000" w:themeColor="text1" w:sz="12" w:space="0"/>
        </w:tcBorders>
      </w:tcPr>
    </w:tblStylePr>
    <w:tblStylePr w:type="lastRow">
      <w:rPr>
        <w:color w:val="404040"/>
        <w:sz w:val="22"/>
      </w:rPr>
      <w:tblPr/>
      <w:tcPr>
        <w:tcBorders>
          <w:top w:val="single" w:color="000000" w:themeColor="text1" w:sz="12" w:space="0"/>
        </w:tcBorders>
      </w:tcPr>
    </w:tblStylePr>
  </w:style>
  <w:style w:type="table" w:styleId="1397">
    <w:name w:val="Bordered - Accent 1"/>
    <w:basedOn w:val="1481"/>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Pr/>
    </w:tblStylePr>
    <w:tblStylePr w:type="firstRow">
      <w:rPr>
        <w:color w:val="404040"/>
        <w:sz w:val="22"/>
      </w:rPr>
      <w:tblPr/>
      <w:tcPr>
        <w:tcBorders>
          <w:bottom w:val="single" w:color="000000" w:themeColor="accent1" w:sz="12" w:space="0"/>
        </w:tcBorders>
      </w:tcPr>
    </w:tblStylePr>
    <w:tblStylePr w:type="lastCol">
      <w:rPr>
        <w:color w:val="404040"/>
        <w:sz w:val="22"/>
      </w:rPr>
      <w:tblPr/>
      <w:tcPr>
        <w:tcBorders>
          <w:left w:val="single" w:color="000000" w:themeColor="accent1" w:sz="12" w:space="0"/>
        </w:tcBorders>
      </w:tcPr>
    </w:tblStylePr>
    <w:tblStylePr w:type="lastRow">
      <w:rPr>
        <w:color w:val="404040"/>
        <w:sz w:val="22"/>
      </w:rPr>
      <w:tblPr/>
      <w:tcPr>
        <w:tcBorders>
          <w:top w:val="single" w:color="000000" w:themeColor="accent1" w:sz="12" w:space="0"/>
        </w:tcBorders>
      </w:tcPr>
    </w:tblStylePr>
  </w:style>
  <w:style w:type="table" w:styleId="1398">
    <w:name w:val="Bordered - Accent 2"/>
    <w:basedOn w:val="1481"/>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Pr/>
    </w:tblStylePr>
    <w:tblStylePr w:type="firstRow">
      <w:rPr>
        <w:color w:val="404040"/>
        <w:sz w:val="22"/>
      </w:rPr>
      <w:tblPr/>
      <w:tcPr>
        <w:tcBorders>
          <w:bottom w:val="single" w:color="000000" w:themeColor="accent2" w:sz="12" w:space="0"/>
        </w:tcBorders>
      </w:tcPr>
    </w:tblStylePr>
    <w:tblStylePr w:type="lastCol">
      <w:rPr>
        <w:color w:val="404040"/>
        <w:sz w:val="22"/>
      </w:rPr>
      <w:tblPr/>
      <w:tcPr>
        <w:tcBorders>
          <w:left w:val="single" w:color="000000" w:themeColor="accent2" w:sz="12" w:space="0"/>
        </w:tcBorders>
      </w:tcPr>
    </w:tblStylePr>
    <w:tblStylePr w:type="lastRow">
      <w:rPr>
        <w:color w:val="404040"/>
        <w:sz w:val="22"/>
      </w:rPr>
      <w:tblPr/>
      <w:tcPr>
        <w:tcBorders>
          <w:top w:val="single" w:color="000000" w:themeColor="accent2" w:sz="12" w:space="0"/>
        </w:tcBorders>
      </w:tcPr>
    </w:tblStylePr>
  </w:style>
  <w:style w:type="table" w:styleId="1399">
    <w:name w:val="Bordered - Accent 3"/>
    <w:basedOn w:val="1481"/>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Pr/>
    </w:tblStylePr>
    <w:tblStylePr w:type="firstRow">
      <w:rPr>
        <w:color w:val="404040"/>
        <w:sz w:val="22"/>
      </w:rPr>
      <w:tblPr/>
      <w:tcPr>
        <w:tcBorders>
          <w:bottom w:val="single" w:color="000000" w:themeColor="accent3" w:sz="12" w:space="0"/>
        </w:tcBorders>
      </w:tcPr>
    </w:tblStylePr>
    <w:tblStylePr w:type="lastCol">
      <w:rPr>
        <w:color w:val="404040"/>
        <w:sz w:val="22"/>
      </w:rPr>
      <w:tblPr/>
      <w:tcPr>
        <w:tcBorders>
          <w:left w:val="single" w:color="000000" w:themeColor="accent3" w:sz="12" w:space="0"/>
        </w:tcBorders>
      </w:tcPr>
    </w:tblStylePr>
    <w:tblStylePr w:type="lastRow">
      <w:rPr>
        <w:color w:val="404040"/>
        <w:sz w:val="22"/>
      </w:rPr>
      <w:tblPr/>
      <w:tcPr>
        <w:tcBorders>
          <w:top w:val="single" w:color="000000" w:themeColor="accent3" w:sz="12" w:space="0"/>
        </w:tcBorders>
      </w:tcPr>
    </w:tblStylePr>
  </w:style>
  <w:style w:type="table" w:styleId="1400">
    <w:name w:val="Bordered - Accent 4"/>
    <w:basedOn w:val="1481"/>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Pr/>
    </w:tblStylePr>
    <w:tblStylePr w:type="firstRow">
      <w:rPr>
        <w:color w:val="404040"/>
        <w:sz w:val="22"/>
      </w:rPr>
      <w:tblPr/>
      <w:tcPr>
        <w:tcBorders>
          <w:bottom w:val="single" w:color="000000" w:themeColor="accent4" w:sz="12" w:space="0"/>
        </w:tcBorders>
      </w:tcPr>
    </w:tblStylePr>
    <w:tblStylePr w:type="lastCol">
      <w:rPr>
        <w:color w:val="404040"/>
        <w:sz w:val="22"/>
      </w:rPr>
      <w:tblPr/>
      <w:tcPr>
        <w:tcBorders>
          <w:left w:val="single" w:color="000000" w:themeColor="accent4" w:sz="12" w:space="0"/>
        </w:tcBorders>
      </w:tcPr>
    </w:tblStylePr>
    <w:tblStylePr w:type="lastRow">
      <w:rPr>
        <w:color w:val="404040"/>
        <w:sz w:val="22"/>
      </w:rPr>
      <w:tblPr/>
      <w:tcPr>
        <w:tcBorders>
          <w:top w:val="single" w:color="000000" w:themeColor="accent4" w:sz="12" w:space="0"/>
        </w:tcBorders>
      </w:tcPr>
    </w:tblStylePr>
  </w:style>
  <w:style w:type="table" w:styleId="1401">
    <w:name w:val="Bordered - Accent 5"/>
    <w:basedOn w:val="1481"/>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Pr/>
    </w:tblStylePr>
    <w:tblStylePr w:type="firstRow">
      <w:rPr>
        <w:color w:val="404040"/>
        <w:sz w:val="22"/>
      </w:rPr>
      <w:tblPr/>
      <w:tcPr>
        <w:tcBorders>
          <w:bottom w:val="single" w:color="000000" w:themeColor="accent5" w:sz="12" w:space="0"/>
        </w:tcBorders>
      </w:tcPr>
    </w:tblStylePr>
    <w:tblStylePr w:type="lastCol">
      <w:rPr>
        <w:color w:val="404040"/>
        <w:sz w:val="22"/>
      </w:rPr>
      <w:tblPr/>
      <w:tcPr>
        <w:tcBorders>
          <w:left w:val="single" w:color="000000" w:themeColor="accent5" w:sz="12" w:space="0"/>
        </w:tcBorders>
      </w:tcPr>
    </w:tblStylePr>
    <w:tblStylePr w:type="lastRow">
      <w:rPr>
        <w:color w:val="404040"/>
        <w:sz w:val="22"/>
      </w:rPr>
      <w:tblPr/>
      <w:tcPr>
        <w:tcBorders>
          <w:top w:val="single" w:color="000000" w:themeColor="accent5" w:sz="12" w:space="0"/>
        </w:tcBorders>
      </w:tcPr>
    </w:tblStylePr>
  </w:style>
  <w:style w:type="table" w:styleId="1402">
    <w:name w:val="Bordered - Accent 6"/>
    <w:basedOn w:val="1481"/>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Pr/>
    </w:tblStylePr>
    <w:tblStylePr w:type="firstRow">
      <w:rPr>
        <w:color w:val="404040"/>
        <w:sz w:val="22"/>
      </w:rPr>
      <w:tblPr/>
      <w:tcPr>
        <w:tcBorders>
          <w:bottom w:val="single" w:color="000000" w:themeColor="accent6" w:sz="12" w:space="0"/>
        </w:tcBorders>
      </w:tcPr>
    </w:tblStylePr>
    <w:tblStylePr w:type="lastCol">
      <w:rPr>
        <w:color w:val="404040"/>
        <w:sz w:val="22"/>
      </w:rPr>
      <w:tblPr/>
      <w:tcPr>
        <w:tcBorders>
          <w:left w:val="single" w:color="000000" w:themeColor="accent6" w:sz="12" w:space="0"/>
        </w:tcBorders>
      </w:tcPr>
    </w:tblStylePr>
    <w:tblStylePr w:type="lastRow">
      <w:rPr>
        <w:color w:val="404040"/>
        <w:sz w:val="22"/>
      </w:rPr>
      <w:tblPr/>
      <w:tcPr>
        <w:tcBorders>
          <w:top w:val="single" w:color="000000" w:themeColor="accent6" w:sz="12" w:space="0"/>
        </w:tcBorders>
      </w:tcPr>
    </w:tblStylePr>
  </w:style>
  <w:style w:type="table" w:default="1" w:styleId="1481">
    <w:name w:val="Normal Table"/>
    <w:uiPriority w:val="99"/>
    <w:semiHidden/>
    <w:unhideWhenUsed/>
    <w:tblPr>
      <w:tblCellMar>
        <w:left w:w="108" w:type="dxa"/>
        <w:top w:w="0" w:type="dxa"/>
        <w:right w:w="108" w:type="dxa"/>
        <w:bottom w:w="0" w:type="dxa"/>
      </w:tblCellMar>
    </w:tblPr>
  </w:style>
  <w:style w:type="table" w:customStyle="1" w:styleId="1482">
    <w:name w:val="[РГ] Таблица"/>
    <w:basedOn w:val="1481"/>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jc w:val="center"/>
      </w:pPr>
      <w:rPr>
        <w:b/>
      </w:rPr>
      <w:tblPr/>
    </w:tblStylePr>
  </w:style>
  <w:style w:type="table" w:styleId="1483">
    <w:name w:val="Table Grid"/>
    <w:basedOn w:val="1481"/>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corp.roseltorg.ru./" TargetMode="External"/><Relationship Id="rId4" Type="http://schemas.openxmlformats.org/officeDocument/2006/relationships/hyperlink" Target="http://www.roseltorg.ru/knowledge_db/docs/documents" TargetMode="External"/><Relationship Id="rId5" Type="http://schemas.openxmlformats.org/officeDocument/2006/relationships/hyperlink" Target="mailto:dgk@dgk.ru" TargetMode="External"/><Relationship Id="rId6" Type="http://schemas.openxmlformats.org/officeDocument/2006/relationships/hyperlink" Target="mailto:fedyasheva-ig@dgk.ru" TargetMode="External"/><Relationship Id="rId7" Type="http://schemas.openxmlformats.org/officeDocument/2006/relationships/hyperlink" Target="mailto:fedyasheva-ig@dgk.ru"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image" Target="media/image2.wmf"/><Relationship Id="rId15" Type="http://schemas.openxmlformats.org/officeDocument/2006/relationships/header" Target="header4.xml"/><Relationship Id="rId16" Type="http://schemas.openxmlformats.org/officeDocument/2006/relationships/header" Target="header5.xml"/><Relationship Id="rId17" Type="http://schemas.openxmlformats.org/officeDocument/2006/relationships/footer" Target="footer4.xml"/><Relationship Id="rId18" Type="http://schemas.openxmlformats.org/officeDocument/2006/relationships/footer" Target="footer5.xml"/><Relationship Id="rId19" Type="http://schemas.openxmlformats.org/officeDocument/2006/relationships/header" Target="header6.xml"/><Relationship Id="rId20" Type="http://schemas.openxmlformats.org/officeDocument/2006/relationships/header" Target="header7.xml"/><Relationship Id="rId21" Type="http://schemas.openxmlformats.org/officeDocument/2006/relationships/footer" Target="footer6.xml"/><Relationship Id="rId22" Type="http://schemas.openxmlformats.org/officeDocument/2006/relationships/footer" Target="footer7.xml"/><Relationship Id="rId23" Type="http://schemas.openxmlformats.org/officeDocument/2006/relationships/image" Target="media/image3.wmf"/><Relationship Id="rId24" Type="http://schemas.openxmlformats.org/officeDocument/2006/relationships/image" Target="media/image4.wmf"/><Relationship Id="rId25" Type="http://schemas.openxmlformats.org/officeDocument/2006/relationships/header" Target="header8.xml"/><Relationship Id="rId26" Type="http://schemas.openxmlformats.org/officeDocument/2006/relationships/header" Target="header9.xml"/><Relationship Id="rId27" Type="http://schemas.openxmlformats.org/officeDocument/2006/relationships/footer" Target="footer8.xml"/><Relationship Id="rId28" Type="http://schemas.openxmlformats.org/officeDocument/2006/relationships/footer" Target="footer9.xml"/><Relationship Id="rId29" Type="http://schemas.openxmlformats.org/officeDocument/2006/relationships/header" Target="header10.xml"/><Relationship Id="rId30" Type="http://schemas.openxmlformats.org/officeDocument/2006/relationships/header" Target="header11.xml"/><Relationship Id="rId31" Type="http://schemas.openxmlformats.org/officeDocument/2006/relationships/footer" Target="footer10.xml"/><Relationship Id="rId32" Type="http://schemas.openxmlformats.org/officeDocument/2006/relationships/footer" Target="footer11.xml"/><Relationship Id="rId33" Type="http://schemas.openxmlformats.org/officeDocument/2006/relationships/header" Target="header12.xml"/><Relationship Id="rId34" Type="http://schemas.openxmlformats.org/officeDocument/2006/relationships/header" Target="header13.xml"/><Relationship Id="rId35" Type="http://schemas.openxmlformats.org/officeDocument/2006/relationships/footer" Target="footer12.xml"/><Relationship Id="rId36" Type="http://schemas.openxmlformats.org/officeDocument/2006/relationships/footer" Target="footer13.xml"/><Relationship Id="rId37" Type="http://schemas.openxmlformats.org/officeDocument/2006/relationships/image" Target="media/image5.wmf"/><Relationship Id="rId38" Type="http://schemas.openxmlformats.org/officeDocument/2006/relationships/image" Target="media/image6.wmf"/><Relationship Id="rId39" Type="http://schemas.openxmlformats.org/officeDocument/2006/relationships/header" Target="header14.xml"/><Relationship Id="rId40" Type="http://schemas.openxmlformats.org/officeDocument/2006/relationships/header" Target="header15.xml"/><Relationship Id="rId41" Type="http://schemas.openxmlformats.org/officeDocument/2006/relationships/footer" Target="footer14.xml"/><Relationship Id="rId42" Type="http://schemas.openxmlformats.org/officeDocument/2006/relationships/footer" Target="footer15.xml"/><Relationship Id="rId43" Type="http://schemas.openxmlformats.org/officeDocument/2006/relationships/footnotes" Target="footnotes.xml"/><Relationship Id="rId44" Type="http://schemas.openxmlformats.org/officeDocument/2006/relationships/numbering" Target="numbering.xml"/><Relationship Id="rId45" Type="http://schemas.openxmlformats.org/officeDocument/2006/relationships/fontTable" Target="fontTable.xml"/><Relationship Id="rId46" Type="http://schemas.openxmlformats.org/officeDocument/2006/relationships/settings" Target="settings.xml"/><Relationship Id="rId47" Type="http://schemas.openxmlformats.org/officeDocument/2006/relationships/theme" Target="theme/theme1.xml"/><Relationship Id="rId4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C3160-6867-45F3-941F-E021B5F5E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Application>AlterOffice/2025.3.1.0$Linux_X86_64 LibreOffice_project/431cd1b79110582f53535c95ed0a2449aadc8bf9</Application>
  <AppVersion>15.0000</AppVersion>
  <Pages>77</Pages>
  <Words>19090</Words>
  <Characters>131700</Characters>
  <CharactersWithSpaces>149228</CharactersWithSpaces>
  <Paragraphs>1110</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2025-07-21T13:44:00Z</dcterms:created>
  <dc:creator>Владимир Щербаков</dc:creator>
  <dc:description/>
  <cp:keywords>Типовая форма</cp:keywords>
  <dc:language>ru-RU</dc:language>
  <cp:lastModifiedBy>klyshko_ra@DGK.RU</cp:lastModifiedBy>
  <dcterms:modified xsi:type="dcterms:W3CDTF">2026-07-31T08:56:24Z</dcterms:modified>
  <cp:revision>32</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